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140/2025/QH15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GIÁ</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pdhckaexos"/>
      <w:r>
        <w:rPr>
          <w:i/>
          <w:iCs/>
          <w:rtl w:val="0"/>
        </w:rPr>
        <w:t>Luật Giá số 16/2023/QH15</w:t>
      </w:r>
      <w:bookmarkEnd w:id="4"/>
      <w:r>
        <w:rPr>
          <w:i/>
          <w:iCs/>
          <w:rtl w:val="0"/>
        </w:rPr>
        <w:t xml:space="preserve"> đã được sửa đổi, bổ sung một số điều theo Luật số </w:t>
      </w:r>
      <w:bookmarkStart w:id="5" w:name="tvpllink_wtodrfejzz"/>
      <w:r>
        <w:rPr>
          <w:i/>
          <w:iCs/>
          <w:rtl w:val="0"/>
        </w:rPr>
        <w:t>44/2024/QH15</w:t>
      </w:r>
      <w:bookmarkEnd w:id="5"/>
      <w:r>
        <w:rPr>
          <w:i/>
          <w:iCs/>
          <w:rtl w:val="0"/>
        </w:rPr>
        <w:t xml:space="preserve">, Luật số </w:t>
      </w:r>
      <w:bookmarkStart w:id="6" w:name="tvpllink_fihxvisxtf"/>
      <w:r>
        <w:rPr>
          <w:i/>
          <w:iCs/>
          <w:rtl w:val="0"/>
        </w:rPr>
        <w:t>61/2024/QH15</w:t>
      </w:r>
      <w:bookmarkEnd w:id="6"/>
      <w:r>
        <w:rPr>
          <w:i/>
          <w:iCs/>
          <w:rtl w:val="0"/>
        </w:rPr>
        <w:t xml:space="preserve"> và Luật số </w:t>
      </w:r>
      <w:bookmarkStart w:id="7" w:name="tvpllink_dgftgvysev"/>
      <w:r>
        <w:rPr>
          <w:i/>
          <w:iCs/>
          <w:rtl w:val="0"/>
        </w:rPr>
        <w:t>95/2025/QH15</w:t>
      </w:r>
      <w:bookmarkEnd w:id="7"/>
      <w:r>
        <w:rPr>
          <w:i/>
          <w:iCs/>
          <w:rtl w:val="0"/>
        </w:rPr>
        <w:t>.</w:t>
      </w:r>
    </w:p>
    <w:p>
      <w:pPr>
        <w:bidi w:val="0"/>
        <w:spacing w:before="120" w:beforeAutospacing="0" w:after="280" w:afterAutospacing="1"/>
        <w:rPr>
          <w:rtl w:val="0"/>
        </w:rPr>
      </w:pPr>
      <w:bookmarkStart w:id="8" w:name="dieu_1"/>
      <w:r>
        <w:rPr>
          <w:b/>
          <w:bCs/>
          <w:rtl w:val="0"/>
        </w:rPr>
        <w:t>Điều</w:t>
      </w:r>
      <w:r>
        <w:rPr>
          <w:b/>
          <w:bCs/>
          <w:rtl w:val="0"/>
        </w:rPr>
        <w:t xml:space="preserve"> 1. Sửa đổi, bổ sung một số điều của Luật Giá</w:t>
      </w:r>
      <w:bookmarkEnd w:id="8"/>
    </w:p>
    <w:p>
      <w:pPr>
        <w:bidi w:val="0"/>
        <w:spacing w:before="120" w:beforeAutospacing="0" w:after="280" w:afterAutospacing="1"/>
        <w:rPr>
          <w:rtl w:val="0"/>
        </w:rPr>
      </w:pPr>
      <w:bookmarkStart w:id="9" w:name="khoan_1_1"/>
      <w:r>
        <w:rPr>
          <w:rtl w:val="0"/>
        </w:rPr>
        <w:t>1. Thay th</w:t>
      </w:r>
      <w:r>
        <w:rPr>
          <w:rtl w:val="0"/>
        </w:rPr>
        <w:t>ế một số cụm từ như sau:</w:t>
      </w:r>
      <w:bookmarkEnd w:id="9"/>
    </w:p>
    <w:p>
      <w:pPr>
        <w:bidi w:val="0"/>
        <w:spacing w:before="120" w:beforeAutospacing="0" w:after="280" w:afterAutospacing="1"/>
        <w:rPr>
          <w:rtl w:val="0"/>
        </w:rPr>
      </w:pPr>
      <w:r>
        <w:rPr>
          <w:rtl w:val="0"/>
        </w:rPr>
        <w:t>a) Thay th</w:t>
      </w:r>
      <w:r>
        <w:rPr>
          <w:rtl w:val="0"/>
        </w:rPr>
        <w:t xml:space="preserve">ế cụm từ “thanh tra chuyên ngành về giá” tại </w:t>
      </w:r>
      <w:bookmarkStart w:id="10" w:name="dc_1"/>
      <w:r>
        <w:rPr>
          <w:rtl w:val="0"/>
        </w:rPr>
        <w:t>Điều 1</w:t>
      </w:r>
      <w:bookmarkEnd w:id="10"/>
      <w:r>
        <w:rPr>
          <w:rtl w:val="0"/>
        </w:rPr>
        <w:t xml:space="preserve"> và tên </w:t>
      </w:r>
      <w:bookmarkStart w:id="11" w:name="dc_2"/>
      <w:r>
        <w:rPr>
          <w:rtl w:val="0"/>
        </w:rPr>
        <w:t>Chương VII</w:t>
      </w:r>
      <w:bookmarkEnd w:id="11"/>
      <w:r>
        <w:rPr>
          <w:rtl w:val="0"/>
        </w:rPr>
        <w:t xml:space="preserve"> bằng cụm từ “thanh tra trong lĩnh vực giá”;</w:t>
      </w:r>
    </w:p>
    <w:p>
      <w:pPr>
        <w:bidi w:val="0"/>
        <w:spacing w:before="120" w:beforeAutospacing="0" w:after="280" w:afterAutospacing="1"/>
        <w:rPr>
          <w:rtl w:val="0"/>
        </w:rPr>
      </w:pPr>
      <w:r>
        <w:rPr>
          <w:rtl w:val="0"/>
        </w:rPr>
        <w:t>b) Thay th</w:t>
      </w:r>
      <w:r>
        <w:rPr>
          <w:rtl w:val="0"/>
        </w:rPr>
        <w:t xml:space="preserve">ế cụm từ “Ủy ban nhân dân cấp huyện” tại </w:t>
      </w:r>
      <w:bookmarkStart w:id="12" w:name="dc_3"/>
      <w:r>
        <w:rPr>
          <w:rtl w:val="0"/>
        </w:rPr>
        <w:t>điểm b khoản 2 Điều 20</w:t>
      </w:r>
      <w:bookmarkEnd w:id="12"/>
      <w:r>
        <w:rPr>
          <w:rtl w:val="0"/>
        </w:rPr>
        <w:t xml:space="preserve"> bằng cụm từ “Ủy ban nhân dân cấp xã”;</w:t>
      </w:r>
    </w:p>
    <w:p>
      <w:pPr>
        <w:bidi w:val="0"/>
        <w:spacing w:before="120" w:beforeAutospacing="0" w:after="280" w:afterAutospacing="1"/>
        <w:rPr>
          <w:rtl w:val="0"/>
        </w:rPr>
      </w:pPr>
      <w:r>
        <w:rPr>
          <w:rtl w:val="0"/>
        </w:rPr>
        <w:t>c) Thay th</w:t>
      </w:r>
      <w:r>
        <w:rPr>
          <w:rtl w:val="0"/>
        </w:rPr>
        <w:t>ế cụm từ “Bộ Giao thông vận tải” tại các mục số 4, 5, 6 và 7 của Phụ lục số 02 Danh mục hàng hóa, dịch vụ do Nhà nước định giá bằng cụm từ “Bộ Xây dựng”;</w:t>
      </w:r>
    </w:p>
    <w:p>
      <w:pPr>
        <w:bidi w:val="0"/>
        <w:spacing w:before="120" w:beforeAutospacing="0" w:after="280" w:afterAutospacing="1"/>
        <w:rPr>
          <w:rtl w:val="0"/>
        </w:rPr>
      </w:pPr>
      <w:r>
        <w:rPr>
          <w:rtl w:val="0"/>
        </w:rPr>
        <w:t>d) Thay th</w:t>
      </w:r>
      <w:r>
        <w:rPr>
          <w:rtl w:val="0"/>
        </w:rPr>
        <w:t>ế cụm từ “Bộ Nông nghiệp và Phát triển nông thôn” tại các mục số 12, 13 và 22 của Phụ lục số 02 Danh mục hàng hóa, dịch vụ do Nhà nước định giá bằng cụm từ “Bộ Nông nghiệp và Môi trường”;</w:t>
      </w:r>
    </w:p>
    <w:p>
      <w:pPr>
        <w:bidi w:val="0"/>
        <w:spacing w:before="120" w:beforeAutospacing="0" w:after="280" w:afterAutospacing="1"/>
        <w:rPr>
          <w:rtl w:val="0"/>
        </w:rPr>
      </w:pPr>
      <w:r>
        <w:rPr>
          <w:rtl w:val="0"/>
        </w:rPr>
        <w:t>đ) Thay th</w:t>
      </w:r>
      <w:r>
        <w:rPr>
          <w:rtl w:val="0"/>
        </w:rPr>
        <w:t xml:space="preserve">ế cụm từ “Bộ Lao động - Thương binh và Xã hội” tại </w:t>
      </w:r>
      <w:bookmarkStart w:id="13" w:name="dc_4"/>
      <w:r>
        <w:rPr>
          <w:rtl w:val="0"/>
        </w:rPr>
        <w:t>khoản 12 Điều 73</w:t>
      </w:r>
      <w:bookmarkEnd w:id="13"/>
      <w:r>
        <w:rPr>
          <w:rtl w:val="0"/>
        </w:rPr>
        <w:t xml:space="preserve"> và tại mục số 25 của Phụ lục số 02 Danh mục hàng hóa, dịch vụ do Nhà nước định giá bằng cụm từ “Bộ Nội vụ”;</w:t>
      </w:r>
    </w:p>
    <w:p>
      <w:pPr>
        <w:bidi w:val="0"/>
        <w:spacing w:before="120" w:beforeAutospacing="0" w:after="280" w:afterAutospacing="1"/>
        <w:rPr>
          <w:rtl w:val="0"/>
        </w:rPr>
      </w:pPr>
      <w:r>
        <w:rPr>
          <w:rtl w:val="0"/>
        </w:rPr>
        <w:t>e) Thay th</w:t>
      </w:r>
      <w:r>
        <w:rPr>
          <w:rtl w:val="0"/>
        </w:rPr>
        <w:t>ế cụm từ “Bộ Thông tin và Truyền thông” tại mục số 9 và mục số 10 của Phụ lục số 02 Danh mục hàng hóa, dịch vụ do Nhà nước định giá bằng cụm từ “Bộ Khoa học và Công nghệ”.</w:t>
      </w:r>
    </w:p>
    <w:p>
      <w:pPr>
        <w:bidi w:val="0"/>
        <w:spacing w:before="120" w:beforeAutospacing="0" w:after="280" w:afterAutospacing="1"/>
        <w:rPr>
          <w:rtl w:val="0"/>
        </w:rPr>
      </w:pPr>
      <w:bookmarkStart w:id="14" w:name="khoan_2_1"/>
      <w:r>
        <w:rPr>
          <w:rtl w:val="0"/>
        </w:rPr>
        <w:t>2. S</w:t>
      </w:r>
      <w:r>
        <w:rPr>
          <w:rtl w:val="0"/>
        </w:rPr>
        <w:t>ửa đổi</w:t>
      </w:r>
      <w:bookmarkEnd w:id="14"/>
      <w:r>
        <w:rPr>
          <w:rtl w:val="0"/>
        </w:rPr>
        <w:t xml:space="preserve"> </w:t>
      </w:r>
      <w:bookmarkStart w:id="15" w:name="dc_5"/>
      <w:r>
        <w:rPr>
          <w:rtl w:val="0"/>
        </w:rPr>
        <w:t>khoản 1 Điều 70</w:t>
      </w:r>
      <w:bookmarkEnd w:id="15"/>
      <w:r>
        <w:rPr>
          <w:rtl w:val="0"/>
        </w:rPr>
        <w:t xml:space="preserve"> </w:t>
      </w:r>
      <w:bookmarkStart w:id="16" w:name="khoan_2_1_name"/>
      <w:r>
        <w:rPr>
          <w:rtl w:val="0"/>
        </w:rPr>
        <w:t>như sau:</w:t>
      </w:r>
      <w:bookmarkEnd w:id="16"/>
    </w:p>
    <w:p>
      <w:pPr>
        <w:bidi w:val="0"/>
        <w:spacing w:before="120" w:beforeAutospacing="0" w:after="280" w:afterAutospacing="1"/>
        <w:rPr>
          <w:rtl w:val="0"/>
        </w:rPr>
      </w:pPr>
      <w:r>
        <w:rPr>
          <w:rtl w:val="0"/>
        </w:rPr>
        <w:t>“1. Vi</w:t>
      </w:r>
      <w:r>
        <w:rPr>
          <w:rtl w:val="0"/>
        </w:rPr>
        <w:t xml:space="preserve">ệc thanh tra trong lĩnh vực giá thực hiện theo quy định của pháp luật về thanh tra.”. </w:t>
      </w:r>
    </w:p>
    <w:p>
      <w:pPr>
        <w:bidi w:val="0"/>
        <w:spacing w:before="120" w:beforeAutospacing="0" w:after="280" w:afterAutospacing="1"/>
        <w:rPr>
          <w:rtl w:val="0"/>
        </w:rPr>
      </w:pPr>
      <w:r>
        <w:rPr>
          <w:rtl w:val="0"/>
        </w:rPr>
        <w:t>3. S</w:t>
      </w:r>
      <w:r>
        <w:rPr>
          <w:rtl w:val="0"/>
        </w:rPr>
        <w:t>ửa đổi, bổ sung một số mục tại Phụ lục số 02 Danh mục hàng hóa, dịch vụ do Nhà nước định giá như sau:</w:t>
      </w:r>
    </w:p>
    <w:p>
      <w:pPr>
        <w:bidi w:val="0"/>
        <w:spacing w:before="120" w:beforeAutospacing="0" w:after="280" w:afterAutospacing="1"/>
        <w:rPr>
          <w:rtl w:val="0"/>
        </w:rPr>
      </w:pPr>
      <w:bookmarkStart w:id="17" w:name="diem_a_3_1"/>
      <w:r>
        <w:rPr>
          <w:rtl w:val="0"/>
        </w:rPr>
        <w:t>a) S</w:t>
      </w:r>
      <w:r>
        <w:rPr>
          <w:rtl w:val="0"/>
        </w:rPr>
        <w:t>ửa đổi, bổ sung các mục số 7, 8, 14, 16, 17, 19, 20, 21, 26, 27, 37 và 42 như sau:</w:t>
      </w:r>
      <w:bookmarkEnd w:id="17"/>
    </w:p>
    <w:tbl>
      <w:tblPr>
        <w:tblW w:w="5000" w:type="pct"/>
        <w:jc w:val="left"/>
        <w:tblCellMar>
          <w:top w:w="0" w:type="dxa"/>
          <w:left w:w="0" w:type="dxa"/>
          <w:bottom w:w="0" w:type="dxa"/>
          <w:right w:w="0" w:type="dxa"/>
        </w:tblCellMar>
      </w:tblPr>
      <w:tblGrid>
        <w:gridCol w:w="819"/>
        <w:gridCol w:w="5020"/>
        <w:gridCol w:w="2801"/>
      </w:tblGrid>
      <w:tr>
        <w:tblPrEx>
          <w:tblW w:w="5000" w:type="pct"/>
          <w:jc w:val="left"/>
          <w:tblCellMar>
            <w:top w:w="0" w:type="dxa"/>
            <w:left w:w="0" w:type="dxa"/>
            <w:bottom w:w="0" w:type="dxa"/>
            <w:right w:w="0" w:type="dxa"/>
          </w:tblCellMar>
        </w:tblPrEx>
        <w:trPr>
          <w:jc w:val="left"/>
        </w:trPr>
        <w:tc>
          <w:tcPr>
            <w:tcW w:w="474" w:type="pct"/>
            <w:vMerge w:val="restar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7</w:t>
            </w:r>
          </w:p>
        </w:tc>
        <w:tc>
          <w:tcPr>
            <w:tcW w:w="2905"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vận chuyển hành khách hàng không nội địa thường lệ hạng phổ thông cơ bản</w:t>
            </w:r>
          </w:p>
        </w:tc>
        <w:tc>
          <w:tcPr>
            <w:tcW w:w="1621"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Xây dựng định giá tối đa</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905"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thuê chuyên cơ, chuyên khoang chính thức (có tính đến yếu tố tàu bay dự bị) sử dụng ngân sách nhà nước</w:t>
            </w:r>
          </w:p>
        </w:tc>
        <w:tc>
          <w:tcPr>
            <w:tcW w:w="1621"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B</w:t>
            </w:r>
            <w:r>
              <w:rPr>
                <w:rtl w:val="0"/>
              </w:rPr>
              <w:t>ộ Tài chính định giá tối đa</w:t>
            </w:r>
          </w:p>
          <w:p>
            <w:pPr>
              <w:bidi w:val="0"/>
              <w:spacing w:before="120" w:beforeAutospacing="0" w:after="0" w:afterAutospacing="0"/>
              <w:rPr>
                <w:rtl w:val="0"/>
              </w:rPr>
            </w:pPr>
            <w:r>
              <w:rPr>
                <w:rtl w:val="0"/>
              </w:rPr>
              <w:t>- B</w:t>
            </w:r>
            <w:r>
              <w:rPr>
                <w:rtl w:val="0"/>
              </w:rPr>
              <w:t>ộ Xây dựng định giá cụ thể</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905"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cho thuê sân đậu tàu bay; dịch vụ cho thuê quầy làm thủ tục hành khách; dịch vụ cho thuê băng chuyền hành lý; dịch vụ cho thuê cầu dẫn khách lên, xuống tàu bay; dịch vụ phục vụ kỹ thuật thương mại mặt đất trọn gói tại các cảng hàng không; dịch vụ phân loại tự động hành lý đi; dịch vụ tra nạp xăng dầu hàng không; dịch vụ sử dụng hạ tầng hệ thống tra nạp ngầm cung cấp nhiên liệu tại cảng hàng không; nhượng quyền khai thác dịch vụ tại cảng hàng không, bao gồm các dịch vụ nhượng quyền: nhà ga hành khách; nhà ga, kho hàng hóa; phục vụ kỹ thuật thương mại mặt đất; sửa chữa, bảo dưỡng phương tiện, trang thiết bị hàng không; cung cấp suất ăn hàng không; cung cấp xăng dầu hàng không; bảo dưỡng tàu bay, động cơ tàu bay, cánh quạt tàu bay và trang thiết bị tàu bay tại Việt Nam</w:t>
            </w:r>
          </w:p>
        </w:tc>
        <w:tc>
          <w:tcPr>
            <w:tcW w:w="1621"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 xml:space="preserve">ộ Xây dựng định </w:t>
            </w:r>
            <w:bookmarkStart w:id="18" w:name="cumtu_1"/>
            <w:r>
              <w:rPr>
                <w:rtl w:val="0"/>
              </w:rPr>
              <w:t>khung giá</w:t>
            </w:r>
            <w:bookmarkEnd w:id="18"/>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W w:w="2905"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cất cánh, hạ cánh tàu bay; dịch vụ điều hành bay đi, đến; dịch vụ điều hành bay qua vùng thông báo bay do Việt Nam quản lý; dịch vụ phục vụ hành khách tại cảng hàng không</w:t>
            </w:r>
          </w:p>
        </w:tc>
        <w:tc>
          <w:tcPr>
            <w:tcW w:w="1621"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Xây dựng định giá cụ thể</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19"/>
        <w:gridCol w:w="5020"/>
        <w:gridCol w:w="2801"/>
      </w:tblGrid>
      <w:tr>
        <w:tblPrEx>
          <w:tblW w:w="5000" w:type="pct"/>
          <w:jc w:val="left"/>
          <w:tblCellMar>
            <w:top w:w="0" w:type="dxa"/>
            <w:left w:w="0" w:type="dxa"/>
            <w:bottom w:w="0" w:type="dxa"/>
            <w:right w:w="0" w:type="dxa"/>
          </w:tblCellMar>
        </w:tblPrEx>
        <w:trPr>
          <w:jc w:val="left"/>
        </w:trPr>
        <w:tc>
          <w:tcPr>
            <w:tcW w:w="474"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8</w:t>
            </w:r>
          </w:p>
        </w:tc>
        <w:tc>
          <w:tcPr>
            <w:tcW w:w="2905"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kiểm định, miễn kiểm định lần đầu đối với xe cơ giới, xe máy chuyên dùng</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Xây dựng định giá tối đa</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90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kiểm định kỹ thuật máy móc, thiết bị, vật tư và các chất có yêu cầu nghiêm ngặt về an toàn lao động</w:t>
            </w:r>
          </w:p>
        </w:tc>
        <w:tc>
          <w:tcPr>
            <w:tcW w:w="162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Các B</w:t>
            </w:r>
            <w:r>
              <w:rPr>
                <w:rtl w:val="0"/>
              </w:rPr>
              <w:t>ộ, ngành theo phạm vi quản lý ngành, lĩnh vực quy định tại pháp luật về an toàn, vệ sinh lao động định khung giá</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90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kiểm định an toàn kỹ thuật các thiết bị, dụng cụ điện</w:t>
            </w:r>
          </w:p>
        </w:tc>
        <w:tc>
          <w:tcPr>
            <w:tcW w:w="162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Công Thương định khung giá</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10"/>
        <w:gridCol w:w="5027"/>
        <w:gridCol w:w="2803"/>
      </w:tblGrid>
      <w:tr>
        <w:tblPrEx>
          <w:tblW w:w="5000" w:type="pct"/>
          <w:jc w:val="left"/>
          <w:tblCellMar>
            <w:top w:w="0" w:type="dxa"/>
            <w:left w:w="0" w:type="dxa"/>
            <w:bottom w:w="0" w:type="dxa"/>
            <w:right w:w="0" w:type="dxa"/>
          </w:tblCellMar>
        </w:tblPrEx>
        <w:trPr>
          <w:jc w:val="left"/>
        </w:trPr>
        <w:tc>
          <w:tcPr>
            <w:tcW w:w="469"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14</w:t>
            </w:r>
          </w:p>
        </w:tc>
        <w:tc>
          <w:tcPr>
            <w:tcW w:w="29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trong lĩnh vực chứng khoán của Sở Giao dịch chứng khoán Việt Nam và công ty con, Tổng công ty Lưu ký và Bù trừ chứng khoán Việt Nam và công ty con</w:t>
            </w:r>
          </w:p>
        </w:tc>
        <w:tc>
          <w:tcPr>
            <w:tcW w:w="162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Tài chính định khung giá, giá tối đa, giá cụ thể (tùy dịch vụ)</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07"/>
        <w:gridCol w:w="5032"/>
        <w:gridCol w:w="2801"/>
      </w:tblGrid>
      <w:tr>
        <w:tblPrEx>
          <w:tblW w:w="5000" w:type="pct"/>
          <w:jc w:val="left"/>
          <w:tblCellMar>
            <w:top w:w="0" w:type="dxa"/>
            <w:left w:w="0" w:type="dxa"/>
            <w:bottom w:w="0" w:type="dxa"/>
            <w:right w:w="0" w:type="dxa"/>
          </w:tblCellMar>
        </w:tblPrEx>
        <w:trPr>
          <w:jc w:val="left"/>
        </w:trPr>
        <w:tc>
          <w:tcPr>
            <w:tcW w:w="467"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16</w:t>
            </w:r>
          </w:p>
        </w:tc>
        <w:tc>
          <w:tcPr>
            <w:tcW w:w="291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Hàng d</w:t>
            </w:r>
            <w:r>
              <w:rPr>
                <w:rtl w:val="0"/>
              </w:rPr>
              <w:t>ự trữ quốc gia (trừ hàng dự trữ quốc gia thuộc lĩnh vực quốc phòng, an ninh) trong trường hợp thực hiện mua theo hình thức chỉ định thầu, mua trực tiếp rộng rãi của mọi đối tượng, bán trực tiếp rộng rãi cho mọi đối tượng, bán chỉ định</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B</w:t>
            </w:r>
            <w:r>
              <w:rPr>
                <w:rtl w:val="0"/>
              </w:rPr>
              <w:t>ộ Tài chính định giá mua tối đa, giá bán tối thiểu đối với việc mua, bán hàng dự trữ quốc gia của các Bộ, ngành</w:t>
            </w:r>
          </w:p>
          <w:p>
            <w:pPr>
              <w:bidi w:val="0"/>
              <w:spacing w:before="120" w:beforeAutospacing="0" w:after="0" w:afterAutospacing="0"/>
              <w:rPr>
                <w:rtl w:val="0"/>
              </w:rPr>
            </w:pPr>
            <w:r>
              <w:rPr>
                <w:rtl w:val="0"/>
              </w:rPr>
              <w:t>- B</w:t>
            </w:r>
            <w:r>
              <w:rPr>
                <w:rtl w:val="0"/>
              </w:rPr>
              <w:t>ộ, ngành quản lý hàng dự trữ quốc gia định giá cụ thể trên cơ sở giá mua tối đa, giá bán tối thiểu do Bộ Tài chính định giá</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9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Hàng d</w:t>
            </w:r>
            <w:r>
              <w:rPr>
                <w:rtl w:val="0"/>
              </w:rPr>
              <w:t>ự trữ quốc gia thuộc lĩnh vực quốc phòng, an ninh thực hiện theo hình thức bán chỉ định</w:t>
            </w:r>
          </w:p>
        </w:tc>
        <w:tc>
          <w:tcPr>
            <w:tcW w:w="162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 xml:space="preserve">ộ Quốc phòng, Bộ Công an định giá cụ thể để thực hiện bán hàng dự trữ quốc gia thuộc lĩnh vực quốc phòng, an ninh theo quy định của </w:t>
            </w:r>
            <w:bookmarkStart w:id="19" w:name="tvpllink_cdbqmfssex"/>
            <w:r>
              <w:rPr>
                <w:rtl w:val="0"/>
              </w:rPr>
              <w:t>Luật Dự trữ quốc gia</w:t>
            </w:r>
            <w:bookmarkEnd w:id="19"/>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07"/>
        <w:gridCol w:w="5032"/>
        <w:gridCol w:w="2801"/>
      </w:tblGrid>
      <w:tr>
        <w:tblPrEx>
          <w:tblW w:w="5000" w:type="pct"/>
          <w:jc w:val="left"/>
          <w:tblCellMar>
            <w:top w:w="0" w:type="dxa"/>
            <w:left w:w="0" w:type="dxa"/>
            <w:bottom w:w="0" w:type="dxa"/>
            <w:right w:w="0" w:type="dxa"/>
          </w:tblCellMar>
        </w:tblPrEx>
        <w:trPr>
          <w:jc w:val="left"/>
        </w:trPr>
        <w:tc>
          <w:tcPr>
            <w:tcW w:w="467"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17</w:t>
            </w:r>
          </w:p>
        </w:tc>
        <w:tc>
          <w:tcPr>
            <w:tcW w:w="291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S</w:t>
            </w:r>
            <w:r>
              <w:rPr>
                <w:rtl w:val="0"/>
              </w:rPr>
              <w:t>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từ nguồn chi thường xuyên và thuộc thẩm quyền đặt hàng của cơ quan, tổ chức ở trung ương</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B</w:t>
            </w:r>
            <w:r>
              <w:rPr>
                <w:rtl w:val="0"/>
              </w:rPr>
              <w:t>ộ Tài chính định giá tối đa</w:t>
            </w:r>
          </w:p>
          <w:p>
            <w:pPr>
              <w:bidi w:val="0"/>
              <w:spacing w:before="120" w:beforeAutospacing="0" w:after="0" w:afterAutospacing="0"/>
              <w:rPr>
                <w:rtl w:val="0"/>
              </w:rPr>
            </w:pPr>
            <w:r>
              <w:rPr>
                <w:rtl w:val="0"/>
              </w:rPr>
              <w:t>- Các cơ quan, t</w:t>
            </w:r>
            <w:r>
              <w:rPr>
                <w:rtl w:val="0"/>
              </w:rPr>
              <w:t>ổ chức ở trung ương định giá cụ thể</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9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S</w:t>
            </w:r>
            <w:r>
              <w:rPr>
                <w:rtl w:val="0"/>
              </w:rPr>
              <w:t>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w:t>
            </w:r>
          </w:p>
        </w:tc>
        <w:tc>
          <w:tcPr>
            <w:tcW w:w="162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Ủy ban nhân dân cấp tỉnh định giá cụ thể</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9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trong lĩnh vực giáo dục đào tạo, giáo dục nghề nghiệp thực hiện đặt hàng</w:t>
            </w:r>
          </w:p>
        </w:tc>
        <w:tc>
          <w:tcPr>
            <w:tcW w:w="162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Th</w:t>
            </w:r>
            <w:r>
              <w:rPr>
                <w:rtl w:val="0"/>
              </w:rPr>
              <w:t>ực hiện theo quy định của pháp luật về giáo dục, giáo dục đại học, giáo dục nghề nghiệp</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10"/>
        <w:gridCol w:w="5027"/>
        <w:gridCol w:w="2803"/>
      </w:tblGrid>
      <w:tr>
        <w:tblPrEx>
          <w:tblW w:w="5000" w:type="pct"/>
          <w:jc w:val="left"/>
          <w:tblCellMar>
            <w:top w:w="0" w:type="dxa"/>
            <w:left w:w="0" w:type="dxa"/>
            <w:bottom w:w="0" w:type="dxa"/>
            <w:right w:w="0" w:type="dxa"/>
          </w:tblCellMar>
        </w:tblPrEx>
        <w:trPr>
          <w:jc w:val="left"/>
        </w:trPr>
        <w:tc>
          <w:tcPr>
            <w:tcW w:w="469"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19</w:t>
            </w:r>
          </w:p>
        </w:tc>
        <w:tc>
          <w:tcPr>
            <w:tcW w:w="29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kiểm dịch y tế, y tế dự phòng tại cơ sở y tế công lập (không bao gồm dịch vụ công không sử dụng ngân sách nhà nước, dịch vụ theo yêu cầu)</w:t>
            </w:r>
          </w:p>
        </w:tc>
        <w:tc>
          <w:tcPr>
            <w:tcW w:w="1622"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B</w:t>
            </w:r>
            <w:r>
              <w:rPr>
                <w:rtl w:val="0"/>
              </w:rPr>
              <w:t xml:space="preserve">ộ Y tế định giá cụ thể hoặc phân cấp định giá cụ thể áp dụng tại đơn vị trực thuộc Bộ Y tế, các Bộ, cơ quan ngang Bộ, tổ chức ở trung ương (trừ Bộ Quốc phòng, Bộ Công an) </w:t>
            </w:r>
          </w:p>
          <w:p>
            <w:pPr>
              <w:bidi w:val="0"/>
              <w:spacing w:before="120" w:beforeAutospacing="0" w:after="280" w:afterAutospacing="1"/>
              <w:rPr>
                <w:rtl w:val="0"/>
              </w:rPr>
            </w:pPr>
            <w:r>
              <w:rPr>
                <w:rtl w:val="0"/>
              </w:rPr>
              <w:t>- B</w:t>
            </w:r>
            <w:r>
              <w:rPr>
                <w:rtl w:val="0"/>
              </w:rPr>
              <w:t xml:space="preserve">ộ Quốc phòng, Bộ Công an định giá cụ thể hoặc phân cấp định giá cụ thể áp dụng tại đơn vị thuộc thẩm quyền quản lý </w:t>
            </w:r>
          </w:p>
          <w:p>
            <w:pPr>
              <w:bidi w:val="0"/>
              <w:spacing w:before="120" w:beforeAutospacing="0" w:after="0" w:afterAutospacing="0"/>
              <w:rPr>
                <w:rtl w:val="0"/>
              </w:rPr>
            </w:pPr>
            <w:r>
              <w:rPr>
                <w:rtl w:val="0"/>
              </w:rPr>
              <w:t xml:space="preserve">- </w:t>
            </w:r>
            <w:r>
              <w:rPr>
                <w:rtl w:val="0"/>
              </w:rPr>
              <w:t>Ủy ban nhân dân cấp tỉnh định giá cụ thể hoặc phân cấp định giá cụ thể áp dụng tại đơn vị trên địa bàn (trừ các đơn vị thuộc thẩm quyền định giá của Bộ Y tế, Bộ Quốc phòng, Bộ Công an)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90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điều trị nghiện bằng thuốc thay thế tại đơn vị sự nghiệp công lập (không bao gồm dịch vụ công không sử dụng ngân sách nhà nước, dịch vụ theo yêu cầu)</w:t>
            </w: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10"/>
        <w:gridCol w:w="5027"/>
        <w:gridCol w:w="2803"/>
      </w:tblGrid>
      <w:tr>
        <w:tblPrEx>
          <w:tblW w:w="5000" w:type="pct"/>
          <w:jc w:val="left"/>
          <w:tblCellMar>
            <w:top w:w="0" w:type="dxa"/>
            <w:left w:w="0" w:type="dxa"/>
            <w:bottom w:w="0" w:type="dxa"/>
            <w:right w:w="0" w:type="dxa"/>
          </w:tblCellMar>
        </w:tblPrEx>
        <w:trPr>
          <w:jc w:val="left"/>
        </w:trPr>
        <w:tc>
          <w:tcPr>
            <w:tcW w:w="469"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20</w:t>
            </w:r>
          </w:p>
        </w:tc>
        <w:tc>
          <w:tcPr>
            <w:tcW w:w="29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Máu toàn phần</w:t>
            </w:r>
            <w:r>
              <w:rPr>
                <w:rtl w:val="0"/>
              </w:rPr>
              <w:t xml:space="preserve"> và chế phẩm máu đạt tiêu chuẩn</w:t>
            </w:r>
          </w:p>
        </w:tc>
        <w:tc>
          <w:tcPr>
            <w:tcW w:w="162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B</w:t>
            </w:r>
            <w:r>
              <w:rPr>
                <w:rtl w:val="0"/>
              </w:rPr>
              <w:t>ộ Y tế định giá cụ thể hoặc phân cấp định giá cụ thể áp dụng tại đơn vị trực thuộc Bộ Y tế, các Bộ, cơ quan ngang Bộ, tổ chức ở trung ương (trừ Bộ Quốc phòng, Bộ Công an)</w:t>
            </w:r>
          </w:p>
          <w:p>
            <w:pPr>
              <w:bidi w:val="0"/>
              <w:spacing w:before="120" w:beforeAutospacing="0" w:after="280" w:afterAutospacing="1"/>
              <w:rPr>
                <w:rtl w:val="0"/>
              </w:rPr>
            </w:pPr>
            <w:r>
              <w:rPr>
                <w:rtl w:val="0"/>
              </w:rPr>
              <w:t>- B</w:t>
            </w:r>
            <w:r>
              <w:rPr>
                <w:rtl w:val="0"/>
              </w:rPr>
              <w:t>ộ Quốc phòng, Bộ Công an định giá cụ thể hoặc phân cấp định giá cụ thể áp dụng tại đơn vị thuộc thẩm quyền quản lý</w:t>
            </w:r>
          </w:p>
          <w:p>
            <w:pPr>
              <w:bidi w:val="0"/>
              <w:spacing w:before="120" w:beforeAutospacing="0" w:after="0" w:afterAutospacing="0"/>
              <w:rPr>
                <w:rtl w:val="0"/>
              </w:rPr>
            </w:pPr>
            <w:r>
              <w:rPr>
                <w:rtl w:val="0"/>
              </w:rPr>
              <w:t xml:space="preserve">- </w:t>
            </w:r>
            <w:r>
              <w:rPr>
                <w:rtl w:val="0"/>
              </w:rPr>
              <w:t>Ủy ban nhân dân cấp tỉnh định giá cụ thể hoặc phân cấp định giá cụ thể áp dụng tại đơn vị trên địa bàn (trừ các đơn vị thuộc thẩm quyền định giá của Bộ Y tế, Bộ Quốc phòng, Bộ Công an)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10"/>
        <w:gridCol w:w="5027"/>
        <w:gridCol w:w="2803"/>
      </w:tblGrid>
      <w:tr>
        <w:tblPrEx>
          <w:tblW w:w="5000" w:type="pct"/>
          <w:jc w:val="left"/>
          <w:tblCellMar>
            <w:top w:w="0" w:type="dxa"/>
            <w:left w:w="0" w:type="dxa"/>
            <w:bottom w:w="0" w:type="dxa"/>
            <w:right w:w="0" w:type="dxa"/>
          </w:tblCellMar>
        </w:tblPrEx>
        <w:trPr>
          <w:jc w:val="left"/>
        </w:trPr>
        <w:tc>
          <w:tcPr>
            <w:tcW w:w="469"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21</w:t>
            </w:r>
          </w:p>
        </w:tc>
        <w:tc>
          <w:tcPr>
            <w:tcW w:w="290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kiểm nghiệm mẫu thuốc, nguyên liệu làm thuốc tại đơn vị sự nghiệp công lập (không bao gồm dịch vụ công không sử dụng ngân sách nhà nước, dịch vụ theo yêu cầu)</w:t>
            </w:r>
          </w:p>
        </w:tc>
        <w:tc>
          <w:tcPr>
            <w:tcW w:w="162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B</w:t>
            </w:r>
            <w:r>
              <w:rPr>
                <w:rtl w:val="0"/>
              </w:rPr>
              <w:t xml:space="preserve">ộ Y tế định giá cụ thể hoặc phân cấp định giá cụ thể áp dụng tại đơn vị trực thuộc Bộ Y tế, các Bộ, cơ quan ngang Bộ, tổ chức ở trung ương (trừ Bộ Quốc phòng, Bộ Công an) </w:t>
            </w:r>
          </w:p>
          <w:p>
            <w:pPr>
              <w:bidi w:val="0"/>
              <w:spacing w:before="120" w:beforeAutospacing="0" w:after="280" w:afterAutospacing="1"/>
              <w:rPr>
                <w:rtl w:val="0"/>
              </w:rPr>
            </w:pPr>
            <w:r>
              <w:rPr>
                <w:rtl w:val="0"/>
              </w:rPr>
              <w:t>- B</w:t>
            </w:r>
            <w:r>
              <w:rPr>
                <w:rtl w:val="0"/>
              </w:rPr>
              <w:t xml:space="preserve">ộ Quốc phòng, Bộ Công an định giá cụ thể hoặc phân cấp định giá cụ thể áp dụng tại đơn vị thuộc thẩm quyền quản lý </w:t>
            </w:r>
          </w:p>
          <w:p>
            <w:pPr>
              <w:bidi w:val="0"/>
              <w:spacing w:before="120" w:beforeAutospacing="0" w:after="0" w:afterAutospacing="0"/>
              <w:rPr>
                <w:rtl w:val="0"/>
              </w:rPr>
            </w:pPr>
            <w:r>
              <w:rPr>
                <w:rtl w:val="0"/>
              </w:rPr>
              <w:t xml:space="preserve">- </w:t>
            </w:r>
            <w:r>
              <w:rPr>
                <w:rtl w:val="0"/>
              </w:rPr>
              <w:t>Ủy ban nhân dân cấp tỉnh định giá cụ thể hoặc phân cấp định giá cụ thể áp dụng tại đơn vị trên địa bàn (trừ các đơn vị thuộc thẩm quyền định giá của Bộ Y tế, Bộ Quốc phòng, Bộ Công an)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924"/>
        <w:gridCol w:w="4914"/>
        <w:gridCol w:w="2801"/>
      </w:tblGrid>
      <w:tr>
        <w:tblPrEx>
          <w:tblW w:w="5000" w:type="pct"/>
          <w:jc w:val="left"/>
          <w:tblCellMar>
            <w:top w:w="0" w:type="dxa"/>
            <w:left w:w="0" w:type="dxa"/>
            <w:bottom w:w="0" w:type="dxa"/>
            <w:right w:w="0" w:type="dxa"/>
          </w:tblCellMar>
        </w:tblPrEx>
        <w:trPr>
          <w:jc w:val="left"/>
        </w:trPr>
        <w:tc>
          <w:tcPr>
            <w:tcW w:w="535"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26</w:t>
            </w:r>
          </w:p>
        </w:tc>
        <w:tc>
          <w:tcPr>
            <w:tcW w:w="284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 xml:space="preserve">Nhà </w:t>
            </w:r>
            <w:r>
              <w:rPr>
                <w:rtl w:val="0"/>
              </w:rPr>
              <w:t>ở công vụ, nhà ở xã hội thuộc tài sản công</w:t>
            </w:r>
          </w:p>
        </w:tc>
        <w:tc>
          <w:tcPr>
            <w:tcW w:w="1621"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Th</w:t>
            </w:r>
            <w:r>
              <w:rPr>
                <w:rtl w:val="0"/>
              </w:rPr>
              <w:t>ực hiện theo quy định của pháp luật về nhà ở</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84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D</w:t>
            </w:r>
            <w:r>
              <w:rPr>
                <w:rtl w:val="0"/>
              </w:rPr>
              <w:t>ịch vụ quản lý vận hành nhà chung cư thuộc tài sản công</w:t>
            </w:r>
          </w:p>
          <w:p>
            <w:pPr>
              <w:bidi w:val="0"/>
              <w:spacing w:before="120" w:beforeAutospacing="0" w:after="0" w:afterAutospacing="0"/>
              <w:rPr>
                <w:rtl w:val="0"/>
              </w:rPr>
            </w:pPr>
            <w:r>
              <w:rPr>
                <w:rtl w:val="0"/>
              </w:rPr>
              <w:t xml:space="preserve">Nhà </w:t>
            </w:r>
            <w:r>
              <w:rPr>
                <w:rtl w:val="0"/>
              </w:rPr>
              <w:t>ở, dịch vụ khác thuộc phạm vi Nhà nước định giá theo quy định của pháp luật về nhà ở</w:t>
            </w: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924"/>
        <w:gridCol w:w="4914"/>
        <w:gridCol w:w="2801"/>
      </w:tblGrid>
      <w:tr>
        <w:tblPrEx>
          <w:tblW w:w="5000" w:type="pct"/>
          <w:jc w:val="left"/>
          <w:tblCellMar>
            <w:top w:w="0" w:type="dxa"/>
            <w:left w:w="0" w:type="dxa"/>
            <w:bottom w:w="0" w:type="dxa"/>
            <w:right w:w="0" w:type="dxa"/>
          </w:tblCellMar>
        </w:tblPrEx>
        <w:trPr>
          <w:jc w:val="left"/>
        </w:trPr>
        <w:tc>
          <w:tcPr>
            <w:tcW w:w="535"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27</w:t>
            </w:r>
          </w:p>
        </w:tc>
        <w:tc>
          <w:tcPr>
            <w:tcW w:w="284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Hàng hóa, d</w:t>
            </w:r>
            <w:r>
              <w:rPr>
                <w:rtl w:val="0"/>
              </w:rPr>
              <w:t xml:space="preserve">ịch vụ phục vụ nhiệm vụ quốc phòng thực hiện đặt hàng, giao nhiệm vụ cho các đơn vị, doanh nghiệp quốc phòng hoặc cơ sở công nghiệp quốc phòng nòng cốt hoặc cơ sở huy động, cơ sở công nghiệp động viên hoặc tổ hợp công nghiệp quốc phòng theo quy định của </w:t>
            </w:r>
            <w:bookmarkStart w:id="20" w:name="tvpllink_gidjgtcfts"/>
            <w:r>
              <w:rPr>
                <w:rtl w:val="0"/>
              </w:rPr>
              <w:t>Luật Công nghiệp quốc phòng, an ninh và động viên công nghiệp</w:t>
            </w:r>
            <w:bookmarkEnd w:id="20"/>
            <w:r>
              <w:rPr>
                <w:rtl w:val="0"/>
              </w:rPr>
              <w:t xml:space="preserve"> (trừ danh mục hàng hóa, dịch vụ thực hiện đặt hàng do Thủ tướng Chính phủ ban hành theo quy định của pháp luật về đấu thầu)</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Quốc phòng định giá cụ thể theo thẩm quyền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rPr>
                <w:rtl w:val="0"/>
              </w:rPr>
            </w:pPr>
          </w:p>
        </w:tc>
        <w:tc>
          <w:tcPr>
            <w:tcW w:w="284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Hàng hóa, d</w:t>
            </w:r>
            <w:r>
              <w:rPr>
                <w:rtl w:val="0"/>
              </w:rPr>
              <w:t xml:space="preserve">ịch vụ phục vụ nhiệm vụ an ninh thực hiện đặt hàng, giao nhiệm vụ cho các đơn vị, doanh nghiệp thuộc Bộ Công an hoặc hệ thống cơ sở công nghiệp an ninh hoặc tổ hợp công nghiệp an ninh quốc gia theo quy định của </w:t>
            </w:r>
            <w:bookmarkStart w:id="21" w:name="tvpllink_gidjgtcfts_1"/>
            <w:r>
              <w:rPr>
                <w:rtl w:val="0"/>
              </w:rPr>
              <w:t>Luật Công nghiệp quốc phòng, an ninh và động viên công nghiệp</w:t>
            </w:r>
            <w:bookmarkEnd w:id="21"/>
          </w:p>
        </w:tc>
        <w:tc>
          <w:tcPr>
            <w:tcW w:w="162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Công an định giá cụ thể theo thẩm quyền</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810"/>
        <w:gridCol w:w="5028"/>
        <w:gridCol w:w="2801"/>
      </w:tblGrid>
      <w:tr>
        <w:tblPrEx>
          <w:tblW w:w="5000" w:type="pct"/>
          <w:jc w:val="left"/>
          <w:tblCellMar>
            <w:top w:w="0" w:type="dxa"/>
            <w:left w:w="0" w:type="dxa"/>
            <w:bottom w:w="0" w:type="dxa"/>
            <w:right w:w="0" w:type="dxa"/>
          </w:tblCellMar>
        </w:tblPrEx>
        <w:trPr>
          <w:jc w:val="left"/>
        </w:trPr>
        <w:tc>
          <w:tcPr>
            <w:tcW w:w="469"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37</w:t>
            </w:r>
          </w:p>
        </w:tc>
        <w:tc>
          <w:tcPr>
            <w:tcW w:w="291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thu gom, vận chuyển, xử lý chất thải rắn sinh hoạt và dịch vụ vệ sinh công cộng</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rPr>
                <w:rtl w:val="0"/>
              </w:rPr>
            </w:pPr>
            <w:r>
              <w:rPr>
                <w:rtl w:val="0"/>
              </w:rPr>
              <w:t xml:space="preserve">- </w:t>
            </w:r>
            <w:r>
              <w:rPr>
                <w:rtl w:val="0"/>
              </w:rPr>
              <w:t xml:space="preserve">Ủy ban nhân dân cấp tỉnh định giá tối đa áp dụng đối với chủ đầu tư, cơ sở cung cấp dịch vụ thu gom, vận chuyển và xử lý chất thải rắn sinh hoạt và dịch vụ vệ sinh công cộng (trừ trường hợp thực hiện theo quy định của pháp luật về đấu thầu); </w:t>
            </w:r>
          </w:p>
          <w:p>
            <w:pPr>
              <w:bidi w:val="0"/>
              <w:spacing w:before="120" w:beforeAutospacing="0" w:after="0" w:afterAutospacing="0"/>
              <w:rPr>
                <w:rtl w:val="0"/>
              </w:rPr>
            </w:pPr>
            <w:r>
              <w:rPr>
                <w:rtl w:val="0"/>
              </w:rPr>
              <w:t xml:space="preserve">- </w:t>
            </w:r>
            <w:r>
              <w:rPr>
                <w:rtl w:val="0"/>
              </w:rPr>
              <w:t>Ủy ban nhân dân cấp tỉnh định giá cụ thể hoặc phân cấp cho Ủy ban nhân dân cấp xã định giá cụ thể theo tình hình thực tế tại địa phương đối với cơ quan, tổ chức, cơ sở sản xuất, kinh doanh, dịch vụ, khu sản xuất, kinh doanh, dịch vụ tập trung, cụm công nghiệp, hộ gia đình, cá nhân sử dụng dịch vụ thu gom, vận chuyển và xử lý chất thải rắn sinh hoạt</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924"/>
        <w:gridCol w:w="4914"/>
        <w:gridCol w:w="2801"/>
      </w:tblGrid>
      <w:tr>
        <w:tblPrEx>
          <w:tblW w:w="5000" w:type="pct"/>
          <w:jc w:val="left"/>
          <w:tblCellMar>
            <w:top w:w="0" w:type="dxa"/>
            <w:left w:w="0" w:type="dxa"/>
            <w:bottom w:w="0" w:type="dxa"/>
            <w:right w:w="0" w:type="dxa"/>
          </w:tblCellMar>
        </w:tblPrEx>
        <w:trPr>
          <w:jc w:val="left"/>
        </w:trPr>
        <w:tc>
          <w:tcPr>
            <w:tcW w:w="535"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42</w:t>
            </w:r>
          </w:p>
        </w:tc>
        <w:tc>
          <w:tcPr>
            <w:tcW w:w="284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sử dụng diện tích bán hàng tại chợ được đầu tư từ nguồn vốn nhà nước</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Ủy ban nhân dân cấp tỉnh định giá cụ thể hoặc phân cấp cho Ủy ban nhân dân cấp xã định giá cụ thể theo tình hình thực tế tại địa phương (trừ trường hợp thực hiện theo quy định của pháp luật về đấu giá)</w:t>
            </w:r>
          </w:p>
        </w:tc>
      </w:tr>
    </w:tbl>
    <w:p>
      <w:pPr>
        <w:bidi w:val="0"/>
        <w:spacing w:before="120" w:beforeAutospacing="0" w:after="280" w:afterAutospacing="1"/>
        <w:rPr>
          <w:rtl w:val="0"/>
        </w:rPr>
      </w:pPr>
      <w:bookmarkStart w:id="22" w:name="diem_b_3_1"/>
      <w:r>
        <w:rPr>
          <w:rtl w:val="0"/>
        </w:rPr>
        <w:t>b) B</w:t>
      </w:r>
      <w:r>
        <w:rPr>
          <w:rtl w:val="0"/>
        </w:rPr>
        <w:t>ổ sung mục số 43 và mục số 44 vào sau mục số 42 như sau:</w:t>
      </w:r>
      <w:bookmarkEnd w:id="22"/>
    </w:p>
    <w:tbl>
      <w:tblPr>
        <w:tblW w:w="5000" w:type="pct"/>
        <w:jc w:val="left"/>
        <w:tblCellMar>
          <w:top w:w="0" w:type="dxa"/>
          <w:left w:w="0" w:type="dxa"/>
          <w:bottom w:w="0" w:type="dxa"/>
          <w:right w:w="0" w:type="dxa"/>
        </w:tblCellMar>
      </w:tblPr>
      <w:tblGrid>
        <w:gridCol w:w="924"/>
        <w:gridCol w:w="4914"/>
        <w:gridCol w:w="2801"/>
      </w:tblGrid>
      <w:tr>
        <w:tblPrEx>
          <w:tblW w:w="5000" w:type="pct"/>
          <w:jc w:val="left"/>
          <w:tblCellMar>
            <w:top w:w="0" w:type="dxa"/>
            <w:left w:w="0" w:type="dxa"/>
            <w:bottom w:w="0" w:type="dxa"/>
            <w:right w:w="0" w:type="dxa"/>
          </w:tblCellMar>
        </w:tblPrEx>
        <w:trPr>
          <w:jc w:val="left"/>
        </w:trPr>
        <w:tc>
          <w:tcPr>
            <w:tcW w:w="535"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43</w:t>
            </w:r>
          </w:p>
        </w:tc>
        <w:tc>
          <w:tcPr>
            <w:tcW w:w="284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ịch vụ sử dụng hạ tầng trong khu công nghiệp, khu kinh tế, khu công nghệ số tập trung, khu công nghệ cao và cụm công nghiệp đầu tư từ nguồn vốn ngân sách nhà nước</w:t>
            </w:r>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Ủy ban nhân dân cấp tỉnh định giá cụ thể</w:t>
            </w:r>
          </w:p>
        </w:tc>
      </w:tr>
    </w:tbl>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924"/>
        <w:gridCol w:w="4914"/>
        <w:gridCol w:w="2801"/>
      </w:tblGrid>
      <w:tr>
        <w:tblPrEx>
          <w:tblW w:w="5000" w:type="pct"/>
          <w:jc w:val="left"/>
          <w:tblCellMar>
            <w:top w:w="0" w:type="dxa"/>
            <w:left w:w="0" w:type="dxa"/>
            <w:bottom w:w="0" w:type="dxa"/>
            <w:right w:w="0" w:type="dxa"/>
          </w:tblCellMar>
        </w:tblPrEx>
        <w:trPr>
          <w:jc w:val="left"/>
        </w:trPr>
        <w:tc>
          <w:tcPr>
            <w:tcW w:w="535"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44</w:t>
            </w:r>
          </w:p>
        </w:tc>
        <w:tc>
          <w:tcPr>
            <w:tcW w:w="284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D</w:t>
            </w:r>
            <w:r>
              <w:rPr>
                <w:rtl w:val="0"/>
              </w:rPr>
              <w:t xml:space="preserve">ịch vụ giám định ngoài tố tụng tư pháp trong lĩnh vực pháp y, pháp y tâm thần và kỹ thuật hình sự do tổ chức giám định tư pháp công lập là đơn vị sự nghiệp công lập, Văn phòng giám định tư pháp thực hiện theo quy định tại </w:t>
            </w:r>
            <w:bookmarkStart w:id="23" w:name="tvpllink_paforglgzr"/>
            <w:r>
              <w:rPr>
                <w:rtl w:val="0"/>
              </w:rPr>
              <w:t>Luật Giám định tư pháp</w:t>
            </w:r>
            <w:bookmarkEnd w:id="23"/>
          </w:p>
        </w:tc>
        <w:tc>
          <w:tcPr>
            <w:tcW w:w="162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Các B</w:t>
            </w:r>
            <w:r>
              <w:rPr>
                <w:rtl w:val="0"/>
              </w:rPr>
              <w:t xml:space="preserve">ộ, ngành quản lý chuyên môn thuộc lĩnh vực giám định tư pháp định giá </w:t>
            </w:r>
            <w:bookmarkStart w:id="24" w:name="cumtu_2"/>
            <w:r>
              <w:rPr>
                <w:rtl w:val="0"/>
              </w:rPr>
              <w:t>tối đa</w:t>
            </w:r>
            <w:bookmarkEnd w:id="24"/>
          </w:p>
        </w:tc>
      </w:tr>
    </w:tbl>
    <w:p>
      <w:pPr>
        <w:bidi w:val="0"/>
        <w:spacing w:before="120" w:beforeAutospacing="0" w:after="280" w:afterAutospacing="1"/>
        <w:rPr>
          <w:rtl w:val="0"/>
        </w:rPr>
      </w:pPr>
      <w:bookmarkStart w:id="25" w:name="khoan_4_1"/>
      <w:r>
        <w:rPr>
          <w:rtl w:val="0"/>
        </w:rPr>
        <w:t>4. Bãi b</w:t>
      </w:r>
      <w:r>
        <w:rPr>
          <w:rtl w:val="0"/>
        </w:rPr>
        <w:t>ỏ:</w:t>
      </w:r>
      <w:bookmarkEnd w:id="25"/>
    </w:p>
    <w:p>
      <w:pPr>
        <w:bidi w:val="0"/>
        <w:spacing w:before="120" w:beforeAutospacing="0" w:after="280" w:afterAutospacing="1"/>
        <w:rPr>
          <w:rtl w:val="0"/>
        </w:rPr>
      </w:pPr>
      <w:r>
        <w:rPr>
          <w:rtl w:val="0"/>
        </w:rPr>
        <w:t>a) Bãi b</w:t>
      </w:r>
      <w:r>
        <w:rPr>
          <w:rtl w:val="0"/>
        </w:rPr>
        <w:t xml:space="preserve">ỏ </w:t>
      </w:r>
      <w:bookmarkStart w:id="26" w:name="dc_6"/>
      <w:r>
        <w:rPr>
          <w:rtl w:val="0"/>
        </w:rPr>
        <w:t>khoản 13 Điều 14</w:t>
      </w:r>
      <w:bookmarkEnd w:id="26"/>
      <w:r>
        <w:rPr>
          <w:rtl w:val="0"/>
        </w:rPr>
        <w:t>;</w:t>
      </w:r>
    </w:p>
    <w:p>
      <w:pPr>
        <w:bidi w:val="0"/>
        <w:spacing w:before="120" w:beforeAutospacing="0" w:after="280" w:afterAutospacing="1"/>
        <w:rPr>
          <w:rtl w:val="0"/>
        </w:rPr>
      </w:pPr>
      <w:r>
        <w:rPr>
          <w:rtl w:val="0"/>
        </w:rPr>
        <w:t>b) B</w:t>
      </w:r>
      <w:r>
        <w:rPr>
          <w:rtl w:val="0"/>
        </w:rPr>
        <w:t xml:space="preserve">ỏ cụm từ “người đại diện theo ủy quyền của tổ chức góp vốn phải là người có thẻ thẩm định viên về giá đăng ký hành nghề thẩm định giá tại doanh nghiệp;” tại </w:t>
      </w:r>
      <w:bookmarkStart w:id="27" w:name="dc_7"/>
      <w:r>
        <w:rPr>
          <w:rtl w:val="0"/>
        </w:rPr>
        <w:t>điểm b khoản 1 Điều 49</w:t>
      </w:r>
      <w:bookmarkEnd w:id="27"/>
      <w:r>
        <w:rPr>
          <w:rtl w:val="0"/>
        </w:rPr>
        <w:t xml:space="preserve">. </w:t>
      </w:r>
    </w:p>
    <w:p>
      <w:pPr>
        <w:bidi w:val="0"/>
        <w:spacing w:before="120" w:beforeAutospacing="0" w:after="280" w:afterAutospacing="1"/>
        <w:rPr>
          <w:rtl w:val="0"/>
        </w:rPr>
      </w:pPr>
      <w:bookmarkStart w:id="28" w:name="dieu_2"/>
      <w:r>
        <w:rPr>
          <w:b/>
          <w:bCs/>
          <w:rtl w:val="0"/>
        </w:rPr>
        <w:t>Điều</w:t>
      </w:r>
      <w:r>
        <w:rPr>
          <w:b/>
          <w:bCs/>
          <w:rtl w:val="0"/>
        </w:rPr>
        <w:t xml:space="preserve"> 2. Hiệu lực thi hành</w:t>
      </w:r>
      <w:bookmarkEnd w:id="28"/>
    </w:p>
    <w:p>
      <w:pPr>
        <w:bidi w:val="0"/>
        <w:spacing w:before="120" w:beforeAutospacing="0" w:after="280" w:afterAutospacing="1"/>
        <w:rPr>
          <w:rtl w:val="0"/>
        </w:rPr>
      </w:pPr>
      <w:r>
        <w:rPr>
          <w:rtl w:val="0"/>
        </w:rPr>
        <w:t>1. Luật này</w:t>
      </w:r>
      <w:r>
        <w:rPr>
          <w:rtl w:val="0"/>
        </w:rPr>
        <w:t xml:space="preserve"> có hiệu lực thi hành từ ngày 01 tháng 01 năm 2026, trừ trường hợp quy định tại khoản 2, khoản 3 Điều này.</w:t>
      </w:r>
    </w:p>
    <w:p>
      <w:pPr>
        <w:bidi w:val="0"/>
        <w:spacing w:before="120" w:beforeAutospacing="0" w:after="280" w:afterAutospacing="1"/>
        <w:rPr>
          <w:rtl w:val="0"/>
        </w:rPr>
      </w:pPr>
      <w:r>
        <w:rPr>
          <w:rtl w:val="0"/>
        </w:rPr>
        <w:t>2. Quy đ</w:t>
      </w:r>
      <w:r>
        <w:rPr>
          <w:rtl w:val="0"/>
        </w:rPr>
        <w:t xml:space="preserve">ịnh tại mục số 7 </w:t>
      </w:r>
      <w:bookmarkStart w:id="29" w:name="tc_1"/>
      <w:r>
        <w:rPr>
          <w:rtl w:val="0"/>
        </w:rPr>
        <w:t>điểm a khoản 3 Điều 1 của Luật này</w:t>
      </w:r>
      <w:bookmarkEnd w:id="29"/>
      <w:r>
        <w:rPr>
          <w:rtl w:val="0"/>
        </w:rPr>
        <w:t xml:space="preserve"> có hiệu lực thi hành từ ngày 01 tháng 7 năm 2026.</w:t>
      </w:r>
    </w:p>
    <w:p>
      <w:pPr>
        <w:bidi w:val="0"/>
        <w:spacing w:before="120" w:beforeAutospacing="0" w:after="280" w:afterAutospacing="1"/>
        <w:rPr>
          <w:rtl w:val="0"/>
        </w:rPr>
      </w:pPr>
      <w:r>
        <w:rPr>
          <w:rtl w:val="0"/>
        </w:rPr>
        <w:t>3. Quy đ</w:t>
      </w:r>
      <w:r>
        <w:rPr>
          <w:rtl w:val="0"/>
        </w:rPr>
        <w:t xml:space="preserve">ịnh tại mục số 44 </w:t>
      </w:r>
      <w:bookmarkStart w:id="30" w:name="tc_2"/>
      <w:r>
        <w:rPr>
          <w:rtl w:val="0"/>
        </w:rPr>
        <w:t>điểm b khoản 3 Điều 1 của Luật này</w:t>
      </w:r>
      <w:bookmarkEnd w:id="30"/>
      <w:r>
        <w:rPr>
          <w:rtl w:val="0"/>
        </w:rPr>
        <w:t xml:space="preserve"> có hiệu lực thi hành từ ngày 01 tháng 5 năm 2026.</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63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rtl w:val="0"/>
              </w:rPr>
              <w:br/>
            </w:r>
            <w:r>
              <w:rPr>
                <w:rtl w:val="0"/>
              </w:rPr>
              <w:br/>
            </w:r>
            <w:r>
              <w:rPr>
                <w:rtl w:val="0"/>
              </w:rPr>
              <w:br/>
            </w:r>
            <w:r>
              <w:rPr>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giá</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Đường sắt</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0-2025-qh15-sua-doi-bo-sung-mot-so-dieu-cua-luat-gia/"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95-2025-qh15-duong-sat/"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