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center"/>
        <w:tblLayout w:type="fixed"/>
        <w:tblLook w:firstColumn="1" w:firstRow="1" w:lastColumn="0" w:lastRow="0" w:noHBand="0" w:noVBand="1" w:val="04A0"/>
        <w:tblInd w:type="dxa" w:w="120"/>
      </w:tblPr>
      <w:tblGrid>
        <w:gridCol w:w="2160"/>
        <w:gridCol w:w="7200"/>
      </w:tblGrid>
      <w:tr>
        <w:tc>
          <w:tcPr>
            <w:tcW w:type="dxa" w:w="216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egalzone-logo-source.png"/>
                          <pic:cNvPicPr/>
                        </pic:nvPicPr>
                        <pic:blipFill>
                          <a:blip r:embed="rId11"/>
                          <a:stretch>
                            <a:fillRect/>
                          </a:stretch>
                        </pic:blipFill>
                        <pic:spPr>
                          <a:xfrm>
                            <a:off x="0" y="0"/>
                            <a:ext cx="720000" cy="720000"/>
                          </a:xfrm>
                          <a:prstGeom prst="rect"/>
                        </pic:spPr>
                      </pic:pic>
                    </a:graphicData>
                  </a:graphic>
                </wp:inline>
              </w:drawing>
            </w:r>
          </w:p>
        </w:tc>
        <w:tc>
          <w:tcPr>
            <w:tcW w:type="dxa" w:w="720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pPr>
              <w:spacing w:after="20"/>
              <w:jc w:val="right"/>
            </w:pPr>
            <w:r>
              <w:rPr>
                <w:rFonts w:ascii="Calibri" w:hAnsi="Calibri" w:eastAsia="Calibri"/>
                <w:b/>
                <w:i w:val="0"/>
                <w:color w:val="1E293B"/>
                <w:sz w:val="22"/>
              </w:rPr>
              <w:t>CỘNG HÒA XÃ HỘI CHỦ NGHĨA VIỆT NAM</w:t>
            </w:r>
          </w:p>
          <w:p>
            <w:pPr>
              <w:spacing w:after="40"/>
              <w:jc w:val="right"/>
            </w:pPr>
            <w:r>
              <w:rPr>
                <w:rFonts w:ascii="Calibri" w:hAnsi="Calibri" w:eastAsia="Calibri"/>
                <w:b/>
                <w:i w:val="0"/>
                <w:color w:val="1E293B"/>
                <w:sz w:val="21"/>
              </w:rPr>
              <w:t>Độc lập - Tự do - Hạnh phúc</w:t>
            </w:r>
          </w:p>
          <w:p>
            <w:pPr>
              <w:spacing w:after="0"/>
              <w:jc w:val="right"/>
            </w:pPr>
            <w:r>
              <w:rPr>
                <w:rFonts w:ascii="Calibri" w:hAnsi="Calibri" w:eastAsia="Calibri"/>
                <w:b w:val="0"/>
                <w:i w:val="0"/>
                <w:color w:val="59636E"/>
                <w:sz w:val="20"/>
              </w:rPr>
              <w:t>Số: [.....]/HĐTV-[.....]</w:t>
            </w:r>
          </w:p>
        </w:tc>
      </w:tr>
    </w:tbl>
    <w:p>
      <w:pPr>
        <w:keepNext/>
        <w:spacing w:after="80" w:line="264" w:lineRule="auto" w:before="240"/>
        <w:jc w:val="center"/>
      </w:pPr>
      <w:r>
        <w:rPr>
          <w:rFonts w:ascii="Calibri" w:hAnsi="Calibri" w:eastAsia="Calibri"/>
          <w:b/>
          <w:i w:val="0"/>
          <w:color w:val="1E293B"/>
          <w:sz w:val="32"/>
        </w:rPr>
        <w:t>MẪU HỢP ĐỒNG TẠP VỤ CƠ QUAN</w:t>
      </w:r>
    </w:p>
    <w:p>
      <w:pPr>
        <w:keepNext/>
        <w:spacing w:after="160" w:line="264" w:lineRule="auto"/>
        <w:jc w:val="center"/>
      </w:pPr>
      <w:r>
        <w:rPr>
          <w:rFonts w:ascii="Calibri" w:hAnsi="Calibri" w:eastAsia="Calibri"/>
          <w:b w:val="0"/>
          <w:i/>
          <w:color w:val="59636E"/>
          <w:sz w:val="21"/>
        </w:rPr>
        <w:t>Dùng cho cơ quan/doanh nghiệp thuê cá nhân làm tạp vụ hoặc thuê đơn vị cung cấp dịch vụ vệ sinh.</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Lưu ý trước khi dùng</w:t>
            </w:r>
          </w:p>
          <w:p>
            <w:pPr>
              <w:spacing w:after="0" w:line="264" w:lineRule="auto"/>
            </w:pPr>
            <w:r>
              <w:rPr>
                <w:rFonts w:ascii="Calibri" w:hAnsi="Calibri" w:eastAsia="Calibri"/>
                <w:b w:val="0"/>
                <w:i w:val="0"/>
                <w:color w:val="1E293B"/>
                <w:sz w:val="21"/>
              </w:rPr>
              <w:t>Nếu người tạp vụ làm việc thường xuyên, chịu sự quản lý, có ca giờ, nội quy và nhận lương hằng tháng thì thường nên dùng hợp đồng lao động. Nếu thuê một đơn vị/cá nhân độc lập cung cấp kết quả vệ sinh theo gói việc, có nghiệm thu và xuất chứng từ phù hợp thì có thể dùng hợp đồng dịch vụ. Không nên dùng một mẫu dịch vụ để che giấu quan hệ lao động.</w:t>
            </w:r>
          </w:p>
        </w:tc>
      </w:tr>
    </w:tbl>
    <w:p>
      <w:pPr>
        <w:spacing w:after="80" w:line="264" w:lineRule="auto"/>
      </w:pPr>
    </w:p>
    <w:p>
      <w:pPr>
        <w:spacing w:after="120" w:line="264" w:lineRule="auto"/>
      </w:pPr>
      <w:r>
        <w:rPr>
          <w:rFonts w:ascii="Calibri" w:hAnsi="Calibri" w:eastAsia="Calibri"/>
          <w:b w:val="0"/>
          <w:i w:val="0"/>
        </w:rPr>
        <w:t>Hôm nay, ngày [.....] tháng [.....] năm [.....], tại [địa điểm ký], các bên gồm:</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A - BÊN THUÊ / NGƯỜI SỬ DỤNG LAO ĐỘNG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Tên cơ quan/doanh nghiệp</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bên thuê]</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Mã số thuế/Mã đơn vị</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[Mã số thuế hoặc thông tin định danh]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trụ sở/địa điểm làm việc]</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Đại diện ký</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chức vụ]</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Điện thoại/Email</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điện thoại] / [Email]</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B - TẠP VỤ / ĐƠN VỊ CUNG CẤP DỊCH VỤ</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Tên cá nhân/đơn vị</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cá nhân hoặc tên đơn vị tạp vụ]</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CCCD/MST/Mã doanh nghiệp</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nơi cấp hoặc mã số thuế]</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liên hệ</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liên hệ]</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Người đại diện nếu là tổ chức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chức vụ]</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Tài khoản nhận thanh toán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tài khoản/ngân hàng]</w:t>
            </w:r>
          </w:p>
        </w:tc>
      </w:tr>
    </w:tbl>
    <w:p>
      <w:pPr>
        <w:spacing w:after="80" w:line="264" w:lineRule="auto"/>
      </w:pPr>
    </w:p>
    <w:p>
      <w:pPr>
        <w:spacing w:after="160" w:line="264" w:lineRule="auto"/>
      </w:pPr>
      <w:r>
        <w:rPr>
          <w:rFonts w:ascii="Calibri" w:hAnsi="Calibri" w:eastAsia="Calibri"/>
          <w:b w:val="0"/>
          <w:i w:val="0"/>
        </w:rPr>
        <w:t>Căn cứ Bộ luật Dân sự số 91/2015/QH13; Bộ luật Lao động số 45/2019/QH14 và Nghị định số 145/2020/NĐ-CP nếu các bên xác lập quan hệ lao động; nội quy, quy chế an toàn và nhu cầu sử dụng dịch vụ/công việc tạp vụ của Bên A, các bên thỏa thuận như sau:</w:t>
      </w:r>
    </w:p>
    <w:p>
      <w:pPr>
        <w:keepNext/>
        <w:spacing w:after="120" w:line="264" w:lineRule="auto" w:before="240"/>
      </w:pPr>
      <w:r>
        <w:rPr>
          <w:rFonts w:ascii="Calibri" w:hAnsi="Calibri" w:eastAsia="Calibri"/>
          <w:b/>
          <w:i w:val="0"/>
          <w:color w:val="2E74B5"/>
          <w:sz w:val="26"/>
        </w:rPr>
        <w:t>Điều 1. Loại hợp đồng và phạm vi công việc</w:t>
      </w:r>
    </w:p>
    <w:p>
      <w:pPr>
        <w:keepLines/>
        <w:spacing w:after="100" w:line="264" w:lineRule="auto"/>
      </w:pPr>
      <w:r>
        <w:rPr>
          <w:rFonts w:ascii="Calibri" w:hAnsi="Calibri" w:eastAsia="Calibri"/>
          <w:b w:val="0"/>
          <w:i w:val="0"/>
        </w:rPr>
        <w:t>1.1. Các bên lựa chọn loại quan hệ: [hợp đồng lao động tạp vụ / hợp đồng dịch vụ vệ sinh]. Phần không phù hợp với loại quan hệ đã chọn cần gạch bỏ hoặc sửa lại trước khi ký.</w:t>
      </w:r>
    </w:p>
    <w:p>
      <w:pPr>
        <w:keepLines/>
        <w:spacing w:after="100" w:line="264" w:lineRule="auto"/>
      </w:pPr>
      <w:r>
        <w:rPr>
          <w:rFonts w:ascii="Calibri" w:hAnsi="Calibri" w:eastAsia="Calibri"/>
          <w:b w:val="0"/>
          <w:i w:val="0"/>
        </w:rPr>
        <w:t>1.2. Công việc chính: vệ sinh khu vực được giao, thu gom rác, lau dọn sàn/kính/bàn ghế, vệ sinh khu phụ trợ, bổ sung vật tư vệ sinh hoặc công việc tạp vụ khác theo phụ lục.</w:t>
      </w:r>
    </w:p>
    <w:p>
      <w:pPr>
        <w:keepLines/>
        <w:spacing w:after="100" w:line="264" w:lineRule="auto"/>
      </w:pPr>
      <w:r>
        <w:rPr>
          <w:rFonts w:ascii="Calibri" w:hAnsi="Calibri" w:eastAsia="Calibri"/>
          <w:b w:val="0"/>
          <w:i w:val="0"/>
        </w:rPr>
        <w:t>1.3. Bên B chỉ thực hiện công việc trong phạm vi được giao, không tự ý vào khu vực cấm, khu vực chứa hồ sơ/tài sản quan trọng hoặc khu vực yêu cầu bảo mật nếu chưa được Bên A cho phép.</w:t>
      </w:r>
    </w:p>
    <w:tbl>
      <w:tblPr>
        <w:tblW w:type="dxa" w:w="9360"/>
        <w:jc w:val="center"/>
        <w:tblLayout w:type="fixed"/>
        <w:tblLook w:firstColumn="1" w:firstRow="1" w:lastColumn="0" w:lastRow="0" w:noHBand="0" w:noVBand="1" w:val="04A0"/>
        <w:tblInd w:type="dxa" w:w="120"/>
      </w:tblPr>
      <w:tblGrid>
        <w:gridCol w:w="3100"/>
        <w:gridCol w:w="6260"/>
      </w:tblGrid>
      <w:tr>
        <w:trPr>
          <w:tblHeader w:val="true"/>
        </w:trPr>
        <w:tc>
          <w:tcPr>
            <w:tcW w:type="dxa" w:w="31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 cần xác định</w:t>
            </w:r>
          </w:p>
        </w:tc>
        <w:tc>
          <w:tcPr>
            <w:tcW w:type="dxa" w:w="62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Thông tin điền vào hợp đồng</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Khu vực làm việc</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[Văn phòng/phòng họp/hành lang/nhà vệ sinh/kho/sân/khác]</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Tần suất</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[Hằng ngày/tuần ... buổi/tháng ... lần/theo yêu cầu]</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Thời gian</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[Từ ... giờ đến ... giờ; ca sáng/chiều/tối; ngày nghỉ nếu có]</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Dụng cụ, hóa chất</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[Bên nào cung cấp; danh mục; yêu cầu an toàn; nơi lưu trữ]</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Tiêu chuẩn nghiệm thu</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[Sạch sàn, rác, kính, khu vệ sinh, mùi, ảnh/checklist bàn giao]</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Người phụ trách</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[Họ tên, bộ phận, số điện thoại người xác nhận công việc]</w:t>
            </w:r>
          </w:p>
        </w:tc>
      </w:tr>
    </w:tbl>
    <w:p>
      <w:pPr>
        <w:spacing w:after="100" w:line="264" w:lineRule="auto"/>
      </w:pPr>
    </w:p>
    <w:p>
      <w:pPr>
        <w:keepNext/>
        <w:spacing w:after="120" w:line="264" w:lineRule="auto" w:before="240"/>
      </w:pPr>
      <w:r>
        <w:rPr>
          <w:rFonts w:ascii="Calibri" w:hAnsi="Calibri" w:eastAsia="Calibri"/>
          <w:b/>
          <w:i w:val="0"/>
          <w:color w:val="2E74B5"/>
          <w:sz w:val="26"/>
        </w:rPr>
        <w:t>Điều 2. Thời hạn, thời giờ làm việc và nghiệm thu</w:t>
      </w:r>
    </w:p>
    <w:p>
      <w:pPr>
        <w:keepLines/>
        <w:spacing w:after="100" w:line="264" w:lineRule="auto"/>
      </w:pPr>
      <w:r>
        <w:rPr>
          <w:rFonts w:ascii="Calibri" w:hAnsi="Calibri" w:eastAsia="Calibri"/>
          <w:b w:val="0"/>
          <w:i w:val="0"/>
        </w:rPr>
        <w:t>2.1. Thời hạn hợp đồng: từ ngày [.....] đến ngày [.....] hoặc theo thời hạn không xác định nếu là hợp đồng lao động không xác định thời hạn.</w:t>
      </w:r>
    </w:p>
    <w:p>
      <w:pPr>
        <w:keepLines/>
        <w:spacing w:after="100" w:line="264" w:lineRule="auto"/>
      </w:pPr>
      <w:r>
        <w:rPr>
          <w:rFonts w:ascii="Calibri" w:hAnsi="Calibri" w:eastAsia="Calibri"/>
          <w:b w:val="0"/>
          <w:i w:val="0"/>
        </w:rPr>
        <w:t>2.2. Thời giờ làm việc/khung giờ cung cấp dịch vụ: [.....]. Nếu làm ngoài giờ, ngày nghỉ, ngày lễ hoặc phát sinh việc đột xuất, các bên phải có xác nhận riêng về thời gian và tiền lương/phí phát sinh.</w:t>
      </w:r>
    </w:p>
    <w:p>
      <w:pPr>
        <w:keepLines/>
        <w:spacing w:after="100" w:line="264" w:lineRule="auto"/>
      </w:pPr>
      <w:r>
        <w:rPr>
          <w:rFonts w:ascii="Calibri" w:hAnsi="Calibri" w:eastAsia="Calibri"/>
          <w:b w:val="0"/>
          <w:i w:val="0"/>
        </w:rPr>
        <w:t>2.3. Bên A nghiệm thu công việc theo checklist vệ sinh, phản ánh của người phụ trách, ảnh chụp hiện trạng nếu có và biên bản/phiếu xác nhận định kỳ.</w:t>
      </w:r>
    </w:p>
    <w:p>
      <w:pPr>
        <w:keepLines/>
        <w:spacing w:after="100" w:line="264" w:lineRule="auto"/>
      </w:pPr>
      <w:r>
        <w:rPr>
          <w:rFonts w:ascii="Calibri" w:hAnsi="Calibri" w:eastAsia="Calibri"/>
          <w:b w:val="0"/>
          <w:i w:val="0"/>
        </w:rPr>
        <w:t>2.4. Nếu Bên B là người lao động, việc chấm công, nghỉ phép, nghỉ ốm, nghỉ lễ và làm thêm giờ thực hiện theo nội quy và pháp luật lao động. Nếu Bên B là đơn vị dịch vụ, việc nghiệm thu và thanh toán thực hiện theo khối lượng/kết quả dịch vụ.</w:t>
      </w:r>
    </w:p>
    <w:p>
      <w:pPr>
        <w:keepNext/>
        <w:spacing w:after="120" w:line="264" w:lineRule="auto" w:before="240"/>
      </w:pPr>
      <w:r>
        <w:rPr>
          <w:rFonts w:ascii="Calibri" w:hAnsi="Calibri" w:eastAsia="Calibri"/>
          <w:b/>
          <w:i w:val="0"/>
          <w:color w:val="2E74B5"/>
          <w:sz w:val="26"/>
        </w:rPr>
        <w:t>Điều 3. Tiền lương, phí dịch vụ và thanh toán</w:t>
      </w:r>
    </w:p>
    <w:tbl>
      <w:tblPr>
        <w:tblW w:type="dxa" w:w="9360"/>
        <w:jc w:val="center"/>
        <w:tblLayout w:type="fixed"/>
        <w:tblLook w:firstColumn="1" w:firstRow="1" w:lastColumn="0" w:lastRow="0" w:noHBand="0" w:noVBand="1" w:val="04A0"/>
        <w:tblInd w:type="dxa" w:w="120"/>
      </w:tblPr>
      <w:tblGrid>
        <w:gridCol w:w="3100"/>
        <w:gridCol w:w="6260"/>
      </w:tblGrid>
      <w:tr>
        <w:trPr>
          <w:tblHeader w:val="true"/>
        </w:trPr>
        <w:tc>
          <w:tcPr>
            <w:tcW w:type="dxa" w:w="31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 cần xác định</w:t>
            </w:r>
          </w:p>
        </w:tc>
        <w:tc>
          <w:tcPr>
            <w:tcW w:type="dxa" w:w="62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Thông tin điền vào hợp đồng</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Lương/phí cơ bản</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đồng/tháng hoặc [.....] đồng/lần/gói việc</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Phụ cấp hoặc chi phí vật tư</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[Phụ cấp ăn/đi lại/độc hại/vật tư/hóa chất nếu có]</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Kỳ thanh toán</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[Hằng tháng/ngày ...; sau nghiệm thu; chuyển khoản/tiền mặt]</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Chứng từ</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[Bảng chấm công/phiếu nghiệm thu/hóa đơn/chứng từ khấu trừ thuế nếu có]</w:t>
            </w:r>
          </w:p>
        </w:tc>
      </w:tr>
      <w:tr>
        <w:tc>
          <w:tcPr>
            <w:tcW w:type="dxa" w:w="3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Khấu trừ</w:t>
            </w:r>
          </w:p>
        </w:tc>
        <w:tc>
          <w:tcPr>
            <w:tcW w:type="dxa" w:w="62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[BHXH, thuế TNCN, bồi thường thiệt hại, khoản tạm ứng nếu hợp lệ]</w:t>
            </w:r>
          </w:p>
        </w:tc>
      </w:tr>
    </w:tbl>
    <w:p>
      <w:pPr>
        <w:spacing w:after="100" w:line="264" w:lineRule="auto"/>
      </w:pPr>
    </w:p>
    <w:p>
      <w:pPr>
        <w:keepLines/>
        <w:spacing w:after="100" w:line="264" w:lineRule="auto"/>
      </w:pPr>
      <w:r>
        <w:rPr>
          <w:rFonts w:ascii="Calibri" w:hAnsi="Calibri" w:eastAsia="Calibri"/>
          <w:b w:val="0"/>
          <w:i w:val="0"/>
        </w:rPr>
        <w:t>3.1. Bên A chỉ được khấu trừ hoặc giữ lại tiền khi có căn cứ trong hợp đồng, nội quy, biên bản xác nhận hoặc quy định pháp luật. Không được phạt tiền thay cho xử lý kỷ luật lao động nếu quan hệ là hợp đồng lao động.</w:t>
      </w:r>
    </w:p>
    <w:p>
      <w:pPr>
        <w:keepNext/>
        <w:spacing w:after="120" w:line="264" w:lineRule="auto" w:before="240"/>
      </w:pPr>
      <w:r>
        <w:rPr>
          <w:rFonts w:ascii="Calibri" w:hAnsi="Calibri" w:eastAsia="Calibri"/>
          <w:b/>
          <w:i w:val="0"/>
          <w:color w:val="2E74B5"/>
          <w:sz w:val="26"/>
        </w:rPr>
        <w:t>Điều 4. Dụng cụ, hóa chất, tài sản và an toàn</w:t>
      </w:r>
    </w:p>
    <w:p>
      <w:pPr>
        <w:keepLines/>
        <w:spacing w:after="100" w:line="264" w:lineRule="auto"/>
      </w:pPr>
      <w:r>
        <w:rPr>
          <w:rFonts w:ascii="Calibri" w:hAnsi="Calibri" w:eastAsia="Calibri"/>
          <w:b w:val="0"/>
          <w:i w:val="0"/>
        </w:rPr>
        <w:t>4.1. Danh mục dụng cụ, máy móc, hóa chất, chìa khóa, thẻ ra vào hoặc tài sản bàn giao cho Bên B được lập thành phụ lục hoặc biên bản bàn giao.</w:t>
      </w:r>
    </w:p>
    <w:p>
      <w:pPr>
        <w:keepLines/>
        <w:spacing w:after="100" w:line="264" w:lineRule="auto"/>
      </w:pPr>
      <w:r>
        <w:rPr>
          <w:rFonts w:ascii="Calibri" w:hAnsi="Calibri" w:eastAsia="Calibri"/>
          <w:b w:val="0"/>
          <w:i w:val="0"/>
        </w:rPr>
        <w:t>4.2. Bên B phải sử dụng hóa chất đúng hướng dẫn, không trộn hóa chất nguy hiểm, không để hóa chất tại khu vực không được phép và phải báo ngay khi xảy ra đổ vỡ, cháy nổ, tai nạn hoặc mất an toàn.</w:t>
      </w:r>
    </w:p>
    <w:p>
      <w:pPr>
        <w:keepLines/>
        <w:spacing w:after="100" w:line="264" w:lineRule="auto"/>
      </w:pPr>
      <w:r>
        <w:rPr>
          <w:rFonts w:ascii="Calibri" w:hAnsi="Calibri" w:eastAsia="Calibri"/>
          <w:b w:val="0"/>
          <w:i w:val="0"/>
        </w:rPr>
        <w:t>4.3. Bên B có trách nhiệm bảo quản tài sản được giao, không tự ý sử dụng máy tính, hồ sơ, con dấu, tài liệu, tài sản cá nhân của nhân viên hoặc khách hàng trong khu vực làm việc.</w:t>
      </w:r>
    </w:p>
    <w:p>
      <w:pPr>
        <w:keepLines/>
        <w:spacing w:after="100" w:line="264" w:lineRule="auto"/>
      </w:pPr>
      <w:r>
        <w:rPr>
          <w:rFonts w:ascii="Calibri" w:hAnsi="Calibri" w:eastAsia="Calibri"/>
          <w:b w:val="0"/>
          <w:i w:val="0"/>
        </w:rPr>
        <w:t>4.4. Nếu công việc có rủi ro trơn trượt, hóa chất, điện, thang cao hoặc khu vực PCCC, Bên A phải hướng dẫn an toàn và Bên B phải tuân thủ đầy đủ quy trình, biển báo, đồ bảo hộ.</w:t>
      </w:r>
    </w:p>
    <w:p>
      <w:pPr>
        <w:keepNext/>
        <w:spacing w:after="120" w:line="264" w:lineRule="auto" w:before="240"/>
      </w:pPr>
      <w:r>
        <w:rPr>
          <w:rFonts w:ascii="Calibri" w:hAnsi="Calibri" w:eastAsia="Calibri"/>
          <w:b/>
          <w:i w:val="0"/>
          <w:color w:val="2E74B5"/>
          <w:sz w:val="26"/>
        </w:rPr>
        <w:t>Điều 5. Bảo mật, ứng xử và nội quy cơ quan</w:t>
      </w:r>
    </w:p>
    <w:p>
      <w:pPr>
        <w:keepLines/>
        <w:spacing w:after="100" w:line="264" w:lineRule="auto"/>
      </w:pPr>
      <w:r>
        <w:rPr>
          <w:rFonts w:ascii="Calibri" w:hAnsi="Calibri" w:eastAsia="Calibri"/>
          <w:b w:val="0"/>
          <w:i w:val="0"/>
        </w:rPr>
        <w:t>5.1. Bên B cam kết giữ bí mật thông tin, tài liệu, dữ liệu, hình ảnh, sơ đồ, hồ sơ khách hàng, thông tin nhân sự và các nội dung biết được trong quá trình làm việc tại Bên A.</w:t>
      </w:r>
    </w:p>
    <w:p>
      <w:pPr>
        <w:keepLines/>
        <w:spacing w:after="100" w:line="264" w:lineRule="auto"/>
      </w:pPr>
      <w:r>
        <w:rPr>
          <w:rFonts w:ascii="Calibri" w:hAnsi="Calibri" w:eastAsia="Calibri"/>
          <w:b w:val="0"/>
          <w:i w:val="0"/>
        </w:rPr>
        <w:t>5.2. Bên B không được tự ý quay phim, chụp ảnh, sao chép tài liệu, đưa người không phận sự vào cơ quan hoặc trao đổi thông tin nội bộ của Bên A cho bên thứ ba.</w:t>
      </w:r>
    </w:p>
    <w:p>
      <w:pPr>
        <w:keepLines/>
        <w:spacing w:after="100" w:line="264" w:lineRule="auto"/>
      </w:pPr>
      <w:r>
        <w:rPr>
          <w:rFonts w:ascii="Calibri" w:hAnsi="Calibri" w:eastAsia="Calibri"/>
          <w:b w:val="0"/>
          <w:i w:val="0"/>
        </w:rPr>
        <w:t>5.3. Bên B phải tuân thủ quy định ra vào, trang phục, tác phong, phòng cháy chữa cháy, an ninh, vệ sinh môi trường và quy định khác được Bên A phổ biến.</w:t>
      </w:r>
    </w:p>
    <w:p>
      <w:pPr>
        <w:keepNext/>
        <w:spacing w:after="120" w:line="264" w:lineRule="auto" w:before="240"/>
      </w:pPr>
      <w:r>
        <w:rPr>
          <w:rFonts w:ascii="Calibri" w:hAnsi="Calibri" w:eastAsia="Calibri"/>
          <w:b/>
          <w:i w:val="0"/>
          <w:color w:val="2E74B5"/>
          <w:sz w:val="26"/>
        </w:rPr>
        <w:t>Điều 6. Bảo hiểm, thuế và trách nhiệm pháp lý</w:t>
      </w:r>
    </w:p>
    <w:p>
      <w:pPr>
        <w:keepLines/>
        <w:spacing w:after="100" w:line="264" w:lineRule="auto"/>
      </w:pPr>
      <w:r>
        <w:rPr>
          <w:rFonts w:ascii="Calibri" w:hAnsi="Calibri" w:eastAsia="Calibri"/>
          <w:b w:val="0"/>
          <w:i w:val="0"/>
        </w:rPr>
        <w:t>6.1. Nếu hai bên xác lập hợp đồng lao động, Bên A và Bên B thực hiện nghĩa vụ bảo hiểm xã hội, bảo hiểm y tế, bảo hiểm thất nghiệp, thuế thu nhập cá nhân và nghĩa vụ lao động khác theo quy định.</w:t>
      </w:r>
    </w:p>
    <w:p>
      <w:pPr>
        <w:keepLines/>
        <w:spacing w:after="100" w:line="264" w:lineRule="auto"/>
      </w:pPr>
      <w:r>
        <w:rPr>
          <w:rFonts w:ascii="Calibri" w:hAnsi="Calibri" w:eastAsia="Calibri"/>
          <w:b w:val="0"/>
          <w:i w:val="0"/>
        </w:rPr>
        <w:t>6.2. Nếu hai bên xác lập hợp đồng dịch vụ, Bên B tự chịu trách nhiệm về nhân sự, bảo hiểm, thuế, hóa đơn/chứng từ và điều kiện hành nghề/cung cấp dịch vụ nếu pháp luật yêu cầu, trừ thỏa thuận khác bằng văn bản.</w:t>
      </w:r>
    </w:p>
    <w:p>
      <w:pPr>
        <w:keepLines/>
        <w:spacing w:after="100" w:line="264" w:lineRule="auto"/>
      </w:pPr>
      <w:r>
        <w:rPr>
          <w:rFonts w:ascii="Calibri" w:hAnsi="Calibri" w:eastAsia="Calibri"/>
          <w:b w:val="0"/>
          <w:i w:val="0"/>
        </w:rPr>
        <w:t>6.3. Bên nào vi phạm gây thiệt hại cho bên còn lại hoặc bên thứ ba thì phải bồi thường theo mức thiệt hại thực tế, lỗi, chứng cứ và giới hạn trách nhiệm được pháp luật cho phép.</w:t>
      </w:r>
    </w:p>
    <w:p>
      <w:pPr>
        <w:keepNext/>
        <w:spacing w:after="120" w:line="264" w:lineRule="auto" w:before="240"/>
      </w:pPr>
      <w:r>
        <w:rPr>
          <w:rFonts w:ascii="Calibri" w:hAnsi="Calibri" w:eastAsia="Calibri"/>
          <w:b/>
          <w:i w:val="0"/>
          <w:color w:val="2E74B5"/>
          <w:sz w:val="26"/>
        </w:rPr>
        <w:t>Điều 7. Tạm ngừng, chấm dứt và bàn giao</w:t>
      </w:r>
    </w:p>
    <w:p>
      <w:pPr>
        <w:keepLines/>
        <w:spacing w:after="100" w:line="264" w:lineRule="auto"/>
      </w:pPr>
      <w:r>
        <w:rPr>
          <w:rFonts w:ascii="Calibri" w:hAnsi="Calibri" w:eastAsia="Calibri"/>
          <w:b w:val="0"/>
          <w:i w:val="0"/>
        </w:rPr>
        <w:t>7.1. Hợp đồng chấm dứt khi hết thời hạn, hoàn thành công việc, các bên thỏa thuận chấm dứt, một bên đơn phương chấm dứt hợp lệ hoặc trường hợp khác theo hợp đồng/pháp luật.</w:t>
      </w:r>
    </w:p>
    <w:p>
      <w:pPr>
        <w:keepLines/>
        <w:spacing w:after="100" w:line="264" w:lineRule="auto"/>
      </w:pPr>
      <w:r>
        <w:rPr>
          <w:rFonts w:ascii="Calibri" w:hAnsi="Calibri" w:eastAsia="Calibri"/>
          <w:b w:val="0"/>
          <w:i w:val="0"/>
        </w:rPr>
        <w:t>7.2. Khi chấm dứt, Bên B phải bàn giao chìa khóa, thẻ ra vào, dụng cụ, hóa chất, tài sản, hồ sơ, khu vực làm việc và hoàn tất các biên bản nghiệm thu còn thiếu.</w:t>
      </w:r>
    </w:p>
    <w:p>
      <w:pPr>
        <w:keepLines/>
        <w:spacing w:after="100" w:line="264" w:lineRule="auto"/>
      </w:pPr>
      <w:r>
        <w:rPr>
          <w:rFonts w:ascii="Calibri" w:hAnsi="Calibri" w:eastAsia="Calibri"/>
          <w:b w:val="0"/>
          <w:i w:val="0"/>
        </w:rPr>
        <w:t>7.3. Nếu là hợp đồng lao động, việc báo trước, thanh toán tiền lương, phép năm, trợ cấp, xác nhận thời gian đóng bảo hiểm và giấy tờ liên quan thực hiện theo pháp luật lao động.</w:t>
      </w:r>
    </w:p>
    <w:p>
      <w:pPr>
        <w:keepLines/>
        <w:spacing w:after="100" w:line="264" w:lineRule="auto"/>
      </w:pPr>
      <w:r>
        <w:rPr>
          <w:rFonts w:ascii="Calibri" w:hAnsi="Calibri" w:eastAsia="Calibri"/>
          <w:b w:val="0"/>
          <w:i w:val="0"/>
        </w:rPr>
        <w:t>7.4. Nếu là hợp đồng dịch vụ, việc quyết toán phí, nghiệm thu khối lượng, phạt vi phạm, bồi thường và hoàn trả tài sản thực hiện theo thỏa thuận dịch vụ và Bộ luật Dân sự.</w:t>
      </w:r>
    </w:p>
    <w:p>
      <w:pPr>
        <w:keepNext/>
        <w:spacing w:after="120" w:line="264" w:lineRule="auto" w:before="240"/>
      </w:pPr>
      <w:r>
        <w:rPr>
          <w:rFonts w:ascii="Calibri" w:hAnsi="Calibri" w:eastAsia="Calibri"/>
          <w:b/>
          <w:i w:val="0"/>
          <w:color w:val="2E74B5"/>
          <w:sz w:val="26"/>
        </w:rPr>
        <w:t>Điều 8. Điều khoản chung</w:t>
      </w:r>
    </w:p>
    <w:p>
      <w:pPr>
        <w:keepLines/>
        <w:spacing w:after="100" w:line="264" w:lineRule="auto"/>
      </w:pPr>
      <w:r>
        <w:rPr>
          <w:rFonts w:ascii="Calibri" w:hAnsi="Calibri" w:eastAsia="Calibri"/>
          <w:b w:val="0"/>
          <w:i w:val="0"/>
        </w:rPr>
        <w:t>8.1. Phụ lục, checklist công việc, biên bản bàn giao, bảng chấm công, phiếu nghiệm thu và văn bản phân công là bộ phận của hợp đồng nếu được các bên xác nhận.</w:t>
      </w:r>
    </w:p>
    <w:p>
      <w:pPr>
        <w:keepLines/>
        <w:spacing w:after="100" w:line="264" w:lineRule="auto"/>
      </w:pPr>
      <w:r>
        <w:rPr>
          <w:rFonts w:ascii="Calibri" w:hAnsi="Calibri" w:eastAsia="Calibri"/>
          <w:b w:val="0"/>
          <w:i w:val="0"/>
        </w:rPr>
        <w:t>8.2. Mọi sửa đổi, bổ sung hợp đồng phải lập thành văn bản hoặc phụ lục có chữ ký/xác nhận hợp lệ của các bên.</w:t>
      </w:r>
    </w:p>
    <w:p>
      <w:pPr>
        <w:keepLines/>
        <w:spacing w:after="100" w:line="264" w:lineRule="auto"/>
      </w:pPr>
      <w:r>
        <w:rPr>
          <w:rFonts w:ascii="Calibri" w:hAnsi="Calibri" w:eastAsia="Calibri"/>
          <w:b w:val="0"/>
          <w:i w:val="0"/>
        </w:rPr>
        <w:t>8.3. Tranh chấp phát sinh được ưu tiên thương lượng. Nếu không giải quyết được, các bên có quyền yêu cầu cơ quan có thẩm quyền giải quyết theo quy định pháp luật.</w:t>
      </w:r>
    </w:p>
    <w:p>
      <w:pPr>
        <w:keepLines/>
        <w:spacing w:after="100" w:line="264" w:lineRule="auto"/>
      </w:pPr>
      <w:r>
        <w:rPr>
          <w:rFonts w:ascii="Calibri" w:hAnsi="Calibri" w:eastAsia="Calibri"/>
          <w:b w:val="0"/>
          <w:i w:val="0"/>
        </w:rPr>
        <w:t>8.4. Hợp đồng được lập thành [02] bản có giá trị như nhau; mỗi bên giữ [01] bản và có hiệu lực từ ngày [.....].</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Checklist trước khi ký</w:t>
            </w:r>
          </w:p>
          <w:p>
            <w:pPr>
              <w:spacing w:after="0" w:line="264" w:lineRule="auto"/>
            </w:pPr>
            <w:r>
              <w:rPr>
                <w:rFonts w:ascii="Calibri" w:hAnsi="Calibri" w:eastAsia="Calibri"/>
                <w:b w:val="0"/>
                <w:i w:val="0"/>
                <w:color w:val="1E293B"/>
                <w:sz w:val="21"/>
              </w:rPr>
              <w:t>Điền rõ loại hợp đồng; khu vực làm việc; thời gian/ca; lương hoặc phí; vật tư ai cung cấp; tiêu chuẩn nghiệm thu; bảo hiểm/thuế; bảo mật; người quản lý trực tiếp; biên bản bàn giao chìa khóa, thẻ ra vào, dụng cụ và hóa chất.</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4680"/>
        <w:gridCol w:w="4680"/>
      </w:tblGrid>
      <w:tr>
        <w:tc>
          <w:tcPr>
            <w:tcW w:type="dxa" w:w="4680"/>
            <w:tcBorders>
              <w:top w:val="single" w:sz="0" w:space="0" w:color="FFFFFF"/>
              <w:left w:val="single" w:sz="0" w:space="0" w:color="FFFFFF"/>
              <w:bottom w:val="single" w:sz="0" w:space="0" w:color="FFFFFF"/>
              <w:right w:val="single" w:sz="0" w:space="0" w:color="FFFFFF"/>
            </w:tcBorders>
            <w:tcMar>
              <w:top w:w="120" w:type="dxa"/>
              <w:start w:w="130" w:type="dxa"/>
              <w:bottom w:w="20" w:type="dxa"/>
              <w:end w:w="130" w:type="dxa"/>
            </w:tcMar>
          </w:tcPr>
          <w:p>
            <w:pPr>
              <w:spacing w:after="0"/>
              <w:jc w:val="center"/>
            </w:pPr>
            <w:r>
              <w:rPr>
                <w:rFonts w:ascii="Calibri" w:hAnsi="Calibri" w:eastAsia="Calibri"/>
                <w:b/>
                <w:i w:val="0"/>
                <w:color w:val="1E293B"/>
                <w:sz w:val="22"/>
              </w:rPr>
              <w:t>ĐẠI DIỆN BÊN B</w:t>
            </w:r>
          </w:p>
          <w:p>
            <w:pPr>
              <w:spacing w:after="0"/>
              <w:jc w:val="center"/>
            </w:pPr>
            <w:r>
              <w:rPr>
                <w:rFonts w:ascii="Calibri" w:hAnsi="Calibri" w:eastAsia="Calibri"/>
                <w:b w:val="0"/>
                <w:i/>
                <w:color w:val="59636E"/>
                <w:sz w:val="20"/>
              </w:rPr>
              <w:t>(Tạp vụ / Đơn vị cung cấp dịch vụ)</w:t>
            </w:r>
          </w:p>
          <w:p>
            <w:pPr>
              <w:spacing w:after="0"/>
              <w:jc w:val="center"/>
            </w:pPr>
            <w:r>
              <w:rPr>
                <w:rFonts w:ascii="Calibri" w:hAnsi="Calibri" w:eastAsia="Calibri"/>
                <w:b w:val="0"/>
                <w:i/>
                <w:color w:val="59636E"/>
                <w:sz w:val="20"/>
              </w:rPr>
              <w:t>(Ký, ghi rõ họ tên và đóng dấu nếu có)</w:t>
            </w:r>
          </w:p>
        </w:tc>
        <w:tc>
          <w:tcPr>
            <w:tcW w:type="dxa" w:w="4680"/>
            <w:tcBorders>
              <w:top w:val="single" w:sz="0" w:space="0" w:color="FFFFFF"/>
              <w:left w:val="single" w:sz="0" w:space="0" w:color="FFFFFF"/>
              <w:bottom w:val="single" w:sz="0" w:space="0" w:color="FFFFFF"/>
              <w:right w:val="single" w:sz="0" w:space="0" w:color="FFFFFF"/>
            </w:tcBorders>
            <w:tcMar>
              <w:top w:w="120" w:type="dxa"/>
              <w:start w:w="130" w:type="dxa"/>
              <w:bottom w:w="20" w:type="dxa"/>
              <w:end w:w="130" w:type="dxa"/>
            </w:tcMar>
          </w:tcPr>
          <w:p>
            <w:pPr>
              <w:spacing w:after="0"/>
              <w:jc w:val="center"/>
            </w:pPr>
            <w:r>
              <w:rPr>
                <w:rFonts w:ascii="Calibri" w:hAnsi="Calibri" w:eastAsia="Calibri"/>
                <w:b/>
                <w:i w:val="0"/>
                <w:color w:val="1E293B"/>
                <w:sz w:val="22"/>
              </w:rPr>
              <w:t>ĐẠI DIỆN BÊN A</w:t>
            </w:r>
          </w:p>
          <w:p>
            <w:pPr>
              <w:spacing w:after="0"/>
              <w:jc w:val="center"/>
            </w:pPr>
            <w:r>
              <w:rPr>
                <w:rFonts w:ascii="Calibri" w:hAnsi="Calibri" w:eastAsia="Calibri"/>
                <w:b w:val="0"/>
                <w:i/>
                <w:color w:val="59636E"/>
                <w:sz w:val="20"/>
              </w:rPr>
              <w:t>(Bên thuê / Người sử dụng lao động)</w:t>
            </w:r>
          </w:p>
          <w:p>
            <w:pPr>
              <w:spacing w:after="0"/>
              <w:jc w:val="center"/>
            </w:pPr>
            <w:r>
              <w:rPr>
                <w:rFonts w:ascii="Calibri" w:hAnsi="Calibri" w:eastAsia="Calibri"/>
                <w:b w:val="0"/>
                <w:i/>
                <w:color w:val="59636E"/>
                <w:sz w:val="20"/>
              </w:rPr>
              <w:t>(Ký, ghi rõ họ tên và đóng dấu nếu có)</w:t>
            </w:r>
          </w:p>
        </w:tc>
      </w:tr>
      <w:tr>
        <w:tc>
          <w:tcPr>
            <w:tcW w:type="dxa" w:w="4680"/>
            <w:tcBorders>
              <w:top w:val="single" w:sz="0" w:space="0" w:color="FFFFFF"/>
              <w:left w:val="single" w:sz="0" w:space="0" w:color="FFFFFF"/>
              <w:bottom w:val="single" w:sz="0" w:space="0" w:color="FFFFFF"/>
              <w:right w:val="single" w:sz="0" w:space="0" w:color="FFFFFF"/>
            </w:tcBorders>
            <w:tcMar>
              <w:top w:w="900" w:type="dxa"/>
              <w:start w:w="130" w:type="dxa"/>
              <w:bottom w:w="160" w:type="dxa"/>
              <w:end w:w="130" w:type="dxa"/>
            </w:tcMar>
          </w:tcPr>
          <w:p>
            <w:pPr>
              <w:spacing w:after="0"/>
            </w:pPr>
          </w:p>
        </w:tc>
        <w:tc>
          <w:tcPr>
            <w:tcW w:type="dxa" w:w="4680"/>
            <w:tcBorders>
              <w:top w:val="single" w:sz="0" w:space="0" w:color="FFFFFF"/>
              <w:left w:val="single" w:sz="0" w:space="0" w:color="FFFFFF"/>
              <w:bottom w:val="single" w:sz="0" w:space="0" w:color="FFFFFF"/>
              <w:right w:val="single" w:sz="0" w:space="0" w:color="FFFFFF"/>
            </w:tcBorders>
            <w:tcMar>
              <w:top w:w="900" w:type="dxa"/>
              <w:start w:w="130" w:type="dxa"/>
              <w:bottom w:w="160" w:type="dxa"/>
              <w:end w:w="130" w:type="dxa"/>
            </w:tcMar>
          </w:tcPr>
          <w:p>
            <w:pPr>
              <w:spacing w:after="0"/>
            </w:pPr>
          </w:p>
        </w:tc>
      </w:tr>
      <w:tr>
        <w:tc>
          <w:tcPr>
            <w:tcW w:type="dxa" w:w="4680"/>
            <w:tcBorders>
              <w:top w:val="single" w:sz="0" w:space="0" w:color="FFFFFF"/>
              <w:left w:val="single" w:sz="0" w:space="0" w:color="FFFFFF"/>
              <w:bottom w:val="single" w:sz="0" w:space="0" w:color="FFFFFF"/>
              <w:right w:val="single" w:sz="0" w:space="0" w:color="FFFFFF"/>
            </w:tcBorders>
            <w:tcMar>
              <w:top w:w="80" w:type="dxa"/>
              <w:start w:w="130" w:type="dxa"/>
              <w:bottom w:w="0" w:type="dxa"/>
              <w:end w:w="130" w:type="dxa"/>
            </w:tcMar>
          </w:tcPr>
          <w:p>
            <w:pPr>
              <w:spacing w:after="0"/>
              <w:jc w:val="center"/>
            </w:pPr>
            <w:r>
              <w:rPr>
                <w:rFonts w:ascii="Calibri" w:hAnsi="Calibri" w:eastAsia="Calibri"/>
                <w:b w:val="0"/>
                <w:i w:val="0"/>
                <w:color w:val="1E293B"/>
                <w:sz w:val="21"/>
              </w:rPr>
              <w:t>[.............................]</w:t>
            </w:r>
          </w:p>
        </w:tc>
        <w:tc>
          <w:tcPr>
            <w:tcW w:type="dxa" w:w="4680"/>
            <w:tcBorders>
              <w:top w:val="single" w:sz="0" w:space="0" w:color="FFFFFF"/>
              <w:left w:val="single" w:sz="0" w:space="0" w:color="FFFFFF"/>
              <w:bottom w:val="single" w:sz="0" w:space="0" w:color="FFFFFF"/>
              <w:right w:val="single" w:sz="0" w:space="0" w:color="FFFFFF"/>
            </w:tcBorders>
            <w:tcMar>
              <w:top w:w="80" w:type="dxa"/>
              <w:start w:w="130" w:type="dxa"/>
              <w:bottom w:w="0" w:type="dxa"/>
              <w:end w:w="130" w:type="dxa"/>
            </w:tcMar>
          </w:tcPr>
          <w:p>
            <w:pPr>
              <w:spacing w:after="0"/>
              <w:jc w:val="center"/>
            </w:pPr>
            <w:r>
              <w:rPr>
                <w:rFonts w:ascii="Calibri" w:hAnsi="Calibri" w:eastAsia="Calibri"/>
                <w:b w:val="0"/>
                <w:i w:val="0"/>
                <w:color w:val="1E293B"/>
                <w:sz w:val="21"/>
              </w:rPr>
              <w:t>[.............................]</w:t>
            </w:r>
          </w:p>
        </w:tc>
      </w:tr>
    </w:tbl>
    <w:p>
      <w:pPr>
        <w:spacing w:after="0" w:line="264" w:lineRule="auto"/>
      </w:pP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Calibri" w:hAnsi="Calibri" w:eastAsia="Calibri"/>
        <w:b w:val="0"/>
        <w:i w:val="0"/>
        <w:color w:val="59636E"/>
        <w:sz w:val="17"/>
      </w:rPr>
      <w:t>Mẫu tham khảo - cần rà soát loại quan hệ, lương/phí, bảo hiểm, an toàn và bảo mật trước khi dùng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Calibri" w:hAnsi="Calibri" w:eastAsia="Calibri"/>
        <w:b w:val="0"/>
        <w:i w:val="0"/>
        <w:color w:val="59636E"/>
        <w:sz w:val="17"/>
      </w:rPr>
      <w:t>LegalZone - Mẫu hợp đồng tạp vụ cơ quan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tạp vụ cơ quan</dc:title>
  <dc:subject>Mẫu hợp đồng tạp vụ cơ quan, hợp đồng lao động tạp vụ, hợp đồng dịch vụ vệ sinh</dc:subject>
  <dc:creator>LegalZone</dc:creator>
  <cp:keywords/>
  <dc:description>Mẫu tham khảo do LegalZone biên tập lại theo hướng sử dụng thực tế; cần rà soát theo từng quan hệ lao động hoặc dịch vụ.</dc:description>
  <cp:lastModifiedBy/>
  <cp:revision>1</cp:revision>
  <dcterms:created xsi:type="dcterms:W3CDTF">2013-12-23T23:15:00Z</dcterms:created>
  <dcterms:modified xsi:type="dcterms:W3CDTF">2013-12-23T23:15:00Z</dcterms:modified>
  <cp:category/>
</cp:coreProperties>
</file>